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C347E" w14:textId="2F679018" w:rsidR="00B53D07" w:rsidRPr="00203977" w:rsidRDefault="00000000" w:rsidP="00526AA6">
      <w:pPr>
        <w:pStyle w:val="Ttulo"/>
        <w:pBdr>
          <w:bottom w:val="none" w:sz="0" w:space="0" w:color="auto"/>
        </w:pBdr>
        <w:rPr>
          <w:sz w:val="28"/>
          <w:szCs w:val="28"/>
          <w:lang w:val="es-ES"/>
        </w:rPr>
      </w:pPr>
      <w:r w:rsidRPr="00203977">
        <w:rPr>
          <w:sz w:val="28"/>
          <w:szCs w:val="28"/>
          <w:lang w:val="es-ES"/>
        </w:rPr>
        <w:t>Preguntas frecuentes: 3er Diálogo Internacional sobre Financiación Sostenible para las ENT y la Salud Mental</w:t>
      </w:r>
    </w:p>
    <w:p w14:paraId="7786848F" w14:textId="5FE8AF87" w:rsidR="00B53D07" w:rsidRPr="00203977" w:rsidRDefault="00000000">
      <w:pPr>
        <w:rPr>
          <w:sz w:val="22"/>
          <w:lang w:val="es-ES"/>
        </w:rPr>
      </w:pPr>
      <w:r w:rsidRPr="00203977">
        <w:rPr>
          <w:sz w:val="22"/>
          <w:lang w:val="es-ES"/>
        </w:rPr>
        <w:t>Estas preguntas frecuentes ofrecen un breve resumen de los principales términos, medidas y oportunidades</w:t>
      </w:r>
      <w:r w:rsidR="00172A05" w:rsidRPr="00203977">
        <w:rPr>
          <w:sz w:val="22"/>
          <w:lang w:val="es-ES"/>
        </w:rPr>
        <w:t xml:space="preserve"> de incidencia</w:t>
      </w:r>
      <w:r w:rsidRPr="00203977">
        <w:rPr>
          <w:sz w:val="22"/>
          <w:lang w:val="es-ES"/>
        </w:rPr>
        <w:t xml:space="preserve"> de cara al 3er Diálogo Internacional sobre Financiación Sostenible para las Enfermedades No Transmisibles y la Salud Mental. Para obtener más información y recursos, visita el sitio web de la Semana Mundial de Acción: </w:t>
      </w:r>
      <w:hyperlink r:id="rId9">
        <w:r w:rsidR="00B53D07" w:rsidRPr="00203977">
          <w:rPr>
            <w:color w:val="0563C1"/>
            <w:sz w:val="22"/>
            <w:u w:val="single"/>
            <w:lang w:val="es-ES"/>
          </w:rPr>
          <w:t>ActOnNCDs.org</w:t>
        </w:r>
      </w:hyperlink>
      <w:r w:rsidRPr="00203977">
        <w:rPr>
          <w:sz w:val="22"/>
          <w:lang w:val="es-ES"/>
        </w:rPr>
        <w:t>.</w:t>
      </w:r>
    </w:p>
    <w:p w14:paraId="7E986A64" w14:textId="7AF8E409" w:rsidR="00B53D07" w:rsidRPr="00203977" w:rsidRDefault="00000000">
      <w:pPr>
        <w:pStyle w:val="Ttulo1"/>
        <w:rPr>
          <w:sz w:val="22"/>
          <w:szCs w:val="22"/>
          <w:lang w:val="es-ES"/>
        </w:rPr>
      </w:pPr>
      <w:r w:rsidRPr="00203977">
        <w:rPr>
          <w:sz w:val="22"/>
          <w:szCs w:val="22"/>
          <w:lang w:val="es-ES"/>
        </w:rPr>
        <w:t>¿Qué es el 3er Diálogo sobre Financiación para las ENT y la Salud Mental?</w:t>
      </w:r>
    </w:p>
    <w:p w14:paraId="383675B1" w14:textId="39513604" w:rsidR="00B53D07" w:rsidRPr="00203977" w:rsidRDefault="00000000">
      <w:pPr>
        <w:rPr>
          <w:sz w:val="22"/>
          <w:lang w:val="es-ES"/>
        </w:rPr>
      </w:pPr>
      <w:r w:rsidRPr="00203977">
        <w:rPr>
          <w:sz w:val="22"/>
          <w:lang w:val="es-ES"/>
        </w:rPr>
        <w:t>El 3er Diálogo Internacional sobre Financiación Sostenible para las Enfermedades No Transmisibles y la Salud Mental, organizado por el Gobierno de Filipinas en colaboración con la Organización Mundial de la Salud y el Banco Asiático de Desarrollo, tendrá lugar en Manila del 2 al 4 de septiembre de 2026.</w:t>
      </w:r>
    </w:p>
    <w:p w14:paraId="1C4DC86A" w14:textId="50A29155" w:rsidR="00B53D07" w:rsidRPr="00203977" w:rsidRDefault="00000000">
      <w:pPr>
        <w:rPr>
          <w:sz w:val="22"/>
          <w:lang w:val="es-ES"/>
        </w:rPr>
      </w:pPr>
      <w:r w:rsidRPr="00203977">
        <w:rPr>
          <w:sz w:val="22"/>
          <w:lang w:val="es-ES"/>
        </w:rPr>
        <w:t xml:space="preserve">El Diálogo busca reforzar la financiación sostenible y la reforma de los sistemas de salud para las ENT y la salud mental. Se basa en los dos encuentros anteriores, celebrados en 2018 y 2024, y en los nuevos compromisos sobre las ENT asumidos en la Declaración Política de 2025 sobre las ENT y la Salud Mental. El Diálogo se programó para aprovechar el «Punto de inflexión para el acceso en 2026» (2026 Access </w:t>
      </w:r>
      <w:proofErr w:type="spellStart"/>
      <w:r w:rsidRPr="00203977">
        <w:rPr>
          <w:sz w:val="22"/>
          <w:lang w:val="es-ES"/>
        </w:rPr>
        <w:t>Pivot</w:t>
      </w:r>
      <w:proofErr w:type="spellEnd"/>
      <w:r w:rsidRPr="00203977">
        <w:rPr>
          <w:sz w:val="22"/>
          <w:lang w:val="es-ES"/>
        </w:rPr>
        <w:t xml:space="preserve">), cuando las patentes de los medicamentos GLP-1 y de biosimilares esenciales vencerán en muchos países de ingresos bajos y </w:t>
      </w:r>
      <w:r w:rsidR="00172A05" w:rsidRPr="00203977">
        <w:rPr>
          <w:sz w:val="22"/>
          <w:lang w:val="es-ES"/>
        </w:rPr>
        <w:t>medios</w:t>
      </w:r>
      <w:r w:rsidRPr="00203977">
        <w:rPr>
          <w:sz w:val="22"/>
          <w:lang w:val="es-ES"/>
        </w:rPr>
        <w:t xml:space="preserve"> (PIBM). Este momento se considera una oportunidad para acelerar la protección financiera y la integración de las ENT en la cobertura sanitaria universal (CSU).</w:t>
      </w:r>
    </w:p>
    <w:p w14:paraId="6F0E5E6D" w14:textId="77777777" w:rsidR="00B53D07" w:rsidRPr="00203977" w:rsidRDefault="00000000">
      <w:pPr>
        <w:rPr>
          <w:sz w:val="22"/>
          <w:lang w:val="es-ES"/>
        </w:rPr>
      </w:pPr>
      <w:r w:rsidRPr="00203977">
        <w:rPr>
          <w:sz w:val="22"/>
          <w:lang w:val="es-ES"/>
        </w:rPr>
        <w:t>El Diálogo producirá tres resultados principales:</w:t>
      </w:r>
    </w:p>
    <w:p w14:paraId="15496639" w14:textId="77777777" w:rsidR="00B53D07" w:rsidRPr="00203977" w:rsidRDefault="00000000">
      <w:pPr>
        <w:pStyle w:val="Listaconnmeros"/>
        <w:rPr>
          <w:sz w:val="22"/>
          <w:lang w:val="es-ES"/>
        </w:rPr>
      </w:pPr>
      <w:r w:rsidRPr="00203977">
        <w:rPr>
          <w:b/>
          <w:bCs/>
          <w:sz w:val="22"/>
          <w:lang w:val="es-ES"/>
        </w:rPr>
        <w:t>La Declaración de Manila</w:t>
      </w:r>
      <w:r w:rsidRPr="00203977">
        <w:rPr>
          <w:sz w:val="22"/>
          <w:lang w:val="es-ES"/>
        </w:rPr>
        <w:t>, que promoverá compromisos políticos sobre la CSU, la protección financiera, el acceso equitativo y el acceso a los medicamentos. La Declaración será adoptada por consenso entre los Estados Miembros. No se ha solicitado a la sociedad civil que haga aportaciones al borrador.</w:t>
      </w:r>
    </w:p>
    <w:p w14:paraId="3BE35E77" w14:textId="3D157E7B" w:rsidR="00B53D07" w:rsidRPr="00203977" w:rsidRDefault="00DE2E1B">
      <w:pPr>
        <w:pStyle w:val="Listaconnmeros"/>
        <w:rPr>
          <w:sz w:val="22"/>
          <w:lang w:val="es-ES"/>
        </w:rPr>
      </w:pPr>
      <w:r w:rsidRPr="00203977">
        <w:rPr>
          <w:b/>
          <w:bCs/>
          <w:sz w:val="22"/>
          <w:lang w:val="es-ES"/>
        </w:rPr>
        <w:t>Una iniciativa regional para mejorar la coordinación en torno al acceso a los medicamentos</w:t>
      </w:r>
      <w:r w:rsidRPr="00203977">
        <w:rPr>
          <w:sz w:val="22"/>
          <w:lang w:val="es-ES"/>
        </w:rPr>
        <w:t xml:space="preserve"> para las ENT en el contexto del </w:t>
      </w:r>
      <w:r w:rsidR="00172A05" w:rsidRPr="00203977">
        <w:rPr>
          <w:sz w:val="22"/>
          <w:lang w:val="es-ES"/>
        </w:rPr>
        <w:t>«</w:t>
      </w:r>
      <w:r w:rsidRPr="00203977">
        <w:rPr>
          <w:sz w:val="22"/>
          <w:lang w:val="es-ES"/>
        </w:rPr>
        <w:t>Punto de inflexión para el acceso en 2026</w:t>
      </w:r>
      <w:r w:rsidR="00172A05" w:rsidRPr="00203977">
        <w:rPr>
          <w:sz w:val="22"/>
          <w:lang w:val="es-ES"/>
        </w:rPr>
        <w:t>»</w:t>
      </w:r>
      <w:r w:rsidRPr="00203977">
        <w:rPr>
          <w:sz w:val="22"/>
          <w:lang w:val="es-ES"/>
        </w:rPr>
        <w:t>, poniendo de relieve su valor estratégico para acelerar la introducción de genéricos con garantía de calidad y mejorar los precios, la asequibilidad y el acceso al mercado, especialmente en los PIBM. Esta iniciativa corresponde a la región del Pacífico Occidental, aunque la OMS está estudiando oportunidades para ampliar este trabajo a otras regiones durante los próximos años.</w:t>
      </w:r>
    </w:p>
    <w:p w14:paraId="1CABD931" w14:textId="0623B926" w:rsidR="00B53D07" w:rsidRPr="00203977" w:rsidRDefault="00000000">
      <w:pPr>
        <w:pStyle w:val="Listaconnmeros"/>
        <w:rPr>
          <w:sz w:val="22"/>
          <w:lang w:val="es-ES"/>
        </w:rPr>
      </w:pPr>
      <w:r w:rsidRPr="00203977">
        <w:rPr>
          <w:b/>
          <w:bCs/>
          <w:sz w:val="22"/>
          <w:lang w:val="es-ES"/>
        </w:rPr>
        <w:t>Una guía práctica</w:t>
      </w:r>
      <w:r w:rsidRPr="00203977">
        <w:rPr>
          <w:sz w:val="22"/>
          <w:lang w:val="es-ES"/>
        </w:rPr>
        <w:t xml:space="preserve"> que ofrecerá orientación técnica a los gobiernos para </w:t>
      </w:r>
      <w:r w:rsidR="0081629F" w:rsidRPr="00203977">
        <w:rPr>
          <w:sz w:val="22"/>
          <w:lang w:val="es-ES"/>
        </w:rPr>
        <w:t>aplicar</w:t>
      </w:r>
      <w:r w:rsidRPr="00203977">
        <w:rPr>
          <w:sz w:val="22"/>
          <w:lang w:val="es-ES"/>
        </w:rPr>
        <w:t xml:space="preserve"> opciones de financiación y reformas de adquisición estratégica, incluidas herramientas que abarcan las políticas, la práctica y la fijación de precios.</w:t>
      </w:r>
    </w:p>
    <w:p w14:paraId="07B7FE1A" w14:textId="77777777" w:rsidR="00B53D07" w:rsidRPr="00203977" w:rsidRDefault="00000000">
      <w:pPr>
        <w:pStyle w:val="Ttulo1"/>
        <w:rPr>
          <w:sz w:val="22"/>
          <w:szCs w:val="22"/>
          <w:lang w:val="es-ES"/>
        </w:rPr>
      </w:pPr>
      <w:r w:rsidRPr="00203977">
        <w:rPr>
          <w:sz w:val="22"/>
          <w:szCs w:val="22"/>
          <w:lang w:val="es-ES"/>
        </w:rPr>
        <w:t>¿Qué es el «Punto de inflexión para el acceso en 2026»?</w:t>
      </w:r>
    </w:p>
    <w:p w14:paraId="389BE1FE" w14:textId="77777777" w:rsidR="00B53D07" w:rsidRPr="00203977" w:rsidRDefault="00000000">
      <w:pPr>
        <w:rPr>
          <w:sz w:val="22"/>
          <w:lang w:val="es-ES"/>
        </w:rPr>
      </w:pPr>
      <w:r w:rsidRPr="00203977">
        <w:rPr>
          <w:sz w:val="22"/>
          <w:lang w:val="es-ES"/>
        </w:rPr>
        <w:t>El «Punto de inflexión para el acceso en 2026» se refiere al vencimiento, durante 2026, de las patentes de muchos medicamentos de gran impacto para las ENT, como los GLP-1 y los biosimilares esenciales, en países de ingresos bajos y medianos. Se considera una oportunidad única para:</w:t>
      </w:r>
    </w:p>
    <w:p w14:paraId="4F39B01A" w14:textId="77777777" w:rsidR="00B53D07" w:rsidRPr="00203977" w:rsidRDefault="00000000">
      <w:pPr>
        <w:pStyle w:val="Listaconnmeros"/>
        <w:numPr>
          <w:ilvl w:val="0"/>
          <w:numId w:val="10"/>
        </w:numPr>
        <w:rPr>
          <w:sz w:val="22"/>
          <w:lang w:val="es-ES"/>
        </w:rPr>
      </w:pPr>
      <w:r w:rsidRPr="00203977">
        <w:rPr>
          <w:sz w:val="22"/>
          <w:lang w:val="es-ES"/>
        </w:rPr>
        <w:t>Mejorar la asequibilidad mediante la inclusión de medicamentos genéricos y biosimilares con garantía de calidad en los paquetes de prestaciones de la CSU.</w:t>
      </w:r>
    </w:p>
    <w:p w14:paraId="7325C5AF" w14:textId="77777777" w:rsidR="00B53D07" w:rsidRPr="00203977" w:rsidRDefault="00000000">
      <w:pPr>
        <w:pStyle w:val="Listaconnmeros"/>
        <w:numPr>
          <w:ilvl w:val="0"/>
          <w:numId w:val="10"/>
        </w:numPr>
        <w:rPr>
          <w:sz w:val="22"/>
          <w:lang w:val="es-ES"/>
        </w:rPr>
      </w:pPr>
      <w:r w:rsidRPr="00203977">
        <w:rPr>
          <w:sz w:val="22"/>
          <w:lang w:val="es-ES"/>
        </w:rPr>
        <w:t>Reforzar la protección financiera, pasando de un elevado gasto de bolsillo a un acceso previsible y financiado con fondos públicos.</w:t>
      </w:r>
    </w:p>
    <w:p w14:paraId="0B1DCE87" w14:textId="38A567B0" w:rsidR="00B53D07" w:rsidRPr="00203977" w:rsidRDefault="00000000">
      <w:pPr>
        <w:rPr>
          <w:sz w:val="22"/>
          <w:lang w:val="es-ES"/>
        </w:rPr>
      </w:pPr>
      <w:r w:rsidRPr="00203977">
        <w:rPr>
          <w:sz w:val="22"/>
          <w:lang w:val="es-ES"/>
        </w:rPr>
        <w:t xml:space="preserve">El Diálogo se ha programado para aprovechar este momento como una oportunidad para acelerar la protección financiera y la integración en la CSU, ampliando el acceso mediante la producción de genéricos, la adquisición mancomunada y los acuerdos de licencia voluntaria. Tanto la Declaración de Manila como el acuerdo regional incluyen secciones específicas sobre el </w:t>
      </w:r>
      <w:r w:rsidR="00172A05" w:rsidRPr="00203977">
        <w:rPr>
          <w:sz w:val="22"/>
          <w:lang w:val="es-ES"/>
        </w:rPr>
        <w:t>«</w:t>
      </w:r>
      <w:r w:rsidRPr="00203977">
        <w:rPr>
          <w:sz w:val="22"/>
          <w:lang w:val="es-ES"/>
        </w:rPr>
        <w:t>Punto de inflexión para el acceso en 2026</w:t>
      </w:r>
      <w:r w:rsidR="00172A05" w:rsidRPr="00203977">
        <w:rPr>
          <w:sz w:val="22"/>
          <w:lang w:val="es-ES"/>
        </w:rPr>
        <w:t>»</w:t>
      </w:r>
      <w:r w:rsidRPr="00203977">
        <w:rPr>
          <w:sz w:val="22"/>
          <w:lang w:val="es-ES"/>
        </w:rPr>
        <w:t>.</w:t>
      </w:r>
    </w:p>
    <w:p w14:paraId="462A3C86" w14:textId="63E8A501" w:rsidR="00B53D07" w:rsidRPr="00203977" w:rsidRDefault="00000000" w:rsidP="00172A05">
      <w:pPr>
        <w:rPr>
          <w:sz w:val="22"/>
          <w:lang w:val="es-ES"/>
        </w:rPr>
      </w:pPr>
      <w:r w:rsidRPr="00203977">
        <w:rPr>
          <w:sz w:val="22"/>
          <w:lang w:val="es-ES"/>
        </w:rPr>
        <w:t xml:space="preserve">Aunque los puntos del orden del día sobre este tema se centran principalmente en los GLP-1 y las tecnologías para la diabetes, </w:t>
      </w:r>
      <w:r w:rsidR="00172A05" w:rsidRPr="00203977">
        <w:rPr>
          <w:sz w:val="22"/>
          <w:lang w:val="es-ES"/>
        </w:rPr>
        <w:t xml:space="preserve">la Alianza de ENT recomienda tener siempre presente que los principios del punto de inflexión deben enmarcarse en el contexto más amplio de la necesidad de mejorar el acceso a todos los medicamentos para las ENT, la mayoría de los cuales ya no están protegidos por </w:t>
      </w:r>
      <w:proofErr w:type="spellStart"/>
      <w:proofErr w:type="gramStart"/>
      <w:r w:rsidR="00172A05" w:rsidRPr="00203977">
        <w:rPr>
          <w:sz w:val="22"/>
          <w:lang w:val="es-ES"/>
        </w:rPr>
        <w:t>patentes.</w:t>
      </w:r>
      <w:r w:rsidRPr="00203977">
        <w:rPr>
          <w:sz w:val="22"/>
          <w:lang w:val="es-ES"/>
        </w:rPr>
        <w:t>¿</w:t>
      </w:r>
      <w:proofErr w:type="gramEnd"/>
      <w:r w:rsidRPr="00203977">
        <w:rPr>
          <w:sz w:val="22"/>
          <w:lang w:val="es-ES"/>
        </w:rPr>
        <w:t>Quién</w:t>
      </w:r>
      <w:proofErr w:type="spellEnd"/>
      <w:r w:rsidRPr="00203977">
        <w:rPr>
          <w:sz w:val="22"/>
          <w:lang w:val="es-ES"/>
        </w:rPr>
        <w:t xml:space="preserve"> está invitado al Diálogo?</w:t>
      </w:r>
    </w:p>
    <w:p w14:paraId="5D60BD84" w14:textId="77777777" w:rsidR="00B53D07" w:rsidRPr="00203977" w:rsidRDefault="00000000">
      <w:pPr>
        <w:rPr>
          <w:sz w:val="22"/>
          <w:lang w:val="es-ES"/>
        </w:rPr>
      </w:pPr>
      <w:r w:rsidRPr="00203977">
        <w:rPr>
          <w:sz w:val="22"/>
          <w:lang w:val="es-ES"/>
        </w:rPr>
        <w:t>La OMS ha invitado a representantes de 62 gobiernos, incluidos ministros y altos funcionarios de los sectores de salud, finanzas, comercio y planificación. Se espera la asistencia de unas 300 personas, entre ellas representantes de la OMS, organismos de las Naciones Unidas, el Banco Mundial y el Banco Asiático de Desarrollo, junto con socios para el desarrollo, representantes del mundo académico, la sociedad civil y personas con experiencia de vida.</w:t>
      </w:r>
    </w:p>
    <w:p w14:paraId="63534CD0" w14:textId="77777777" w:rsidR="00B53D07" w:rsidRPr="00203977" w:rsidRDefault="00000000">
      <w:pPr>
        <w:rPr>
          <w:sz w:val="22"/>
          <w:lang w:val="es-ES"/>
        </w:rPr>
      </w:pPr>
      <w:r w:rsidRPr="00203977">
        <w:rPr>
          <w:sz w:val="22"/>
          <w:lang w:val="es-ES"/>
        </w:rPr>
        <w:t>Lista de gobiernos invitados por región:</w:t>
      </w:r>
    </w:p>
    <w:p w14:paraId="0DB6BBEE" w14:textId="77777777" w:rsidR="00B53D07" w:rsidRPr="00203977" w:rsidRDefault="00000000">
      <w:pPr>
        <w:pStyle w:val="Listaconvietas"/>
        <w:rPr>
          <w:sz w:val="22"/>
          <w:lang w:val="es-ES"/>
        </w:rPr>
      </w:pPr>
      <w:r w:rsidRPr="00203977">
        <w:rPr>
          <w:sz w:val="22"/>
          <w:lang w:val="es-ES"/>
        </w:rPr>
        <w:t>AFRO: Ghana, Kenia, Mauricio, Nigeria, Sudáfrica, Tanzania, República del Congo, Santo Tomé y Príncipe, Seychelles y Gabón.</w:t>
      </w:r>
    </w:p>
    <w:p w14:paraId="3654504F" w14:textId="77777777" w:rsidR="00B53D07" w:rsidRPr="00203977" w:rsidRDefault="00000000">
      <w:pPr>
        <w:pStyle w:val="Listaconvietas"/>
        <w:rPr>
          <w:sz w:val="22"/>
          <w:lang w:val="es-ES"/>
        </w:rPr>
      </w:pPr>
      <w:r w:rsidRPr="00203977">
        <w:rPr>
          <w:sz w:val="22"/>
          <w:lang w:val="es-ES"/>
        </w:rPr>
        <w:t>EMRO: Egipto, Omán, Pakistán, Arabia Saudita, Emiratos Árabes Unidos, Kuwait y Yibuti.</w:t>
      </w:r>
    </w:p>
    <w:p w14:paraId="5B99BF0A" w14:textId="77777777" w:rsidR="00B53D07" w:rsidRPr="00203977" w:rsidRDefault="00000000">
      <w:pPr>
        <w:pStyle w:val="Listaconvietas"/>
        <w:rPr>
          <w:sz w:val="22"/>
          <w:lang w:val="es-ES"/>
        </w:rPr>
      </w:pPr>
      <w:r w:rsidRPr="00203977">
        <w:rPr>
          <w:sz w:val="22"/>
          <w:lang w:val="es-ES"/>
        </w:rPr>
        <w:t>EURO: Dinamarca, Francia, Alemania, Israel, Kazajstán, Ucrania, Reino Unido, Uzbekistán, Montenegro y el Gobierno de Escocia.</w:t>
      </w:r>
    </w:p>
    <w:p w14:paraId="3442C264" w14:textId="77777777" w:rsidR="00B53D07" w:rsidRPr="00203977" w:rsidRDefault="00000000">
      <w:pPr>
        <w:pStyle w:val="Listaconvietas"/>
        <w:rPr>
          <w:sz w:val="22"/>
          <w:lang w:val="es-ES"/>
        </w:rPr>
      </w:pPr>
      <w:r w:rsidRPr="00203977">
        <w:rPr>
          <w:sz w:val="22"/>
          <w:lang w:val="es-ES"/>
        </w:rPr>
        <w:t>AMRO: Brasil, Canadá, Chile, Jamaica, Perú, Estados Unidos, Uruguay, El Salvador, Granada y Guyana.</w:t>
      </w:r>
    </w:p>
    <w:p w14:paraId="0028556B" w14:textId="77777777" w:rsidR="00B53D07" w:rsidRPr="00203977" w:rsidRDefault="00000000">
      <w:pPr>
        <w:pStyle w:val="Listaconvietas"/>
        <w:rPr>
          <w:sz w:val="22"/>
          <w:lang w:val="es-ES"/>
        </w:rPr>
      </w:pPr>
      <w:r w:rsidRPr="00203977">
        <w:rPr>
          <w:sz w:val="22"/>
          <w:lang w:val="es-ES"/>
        </w:rPr>
        <w:t>SEARO: Bangladesh, India, Maldivas, Nepal, Tailandia, Timor-Leste y Myanmar.</w:t>
      </w:r>
    </w:p>
    <w:p w14:paraId="26618A3E" w14:textId="77777777" w:rsidR="00B53D07" w:rsidRPr="00203977" w:rsidRDefault="00000000">
      <w:pPr>
        <w:pStyle w:val="Listaconvietas"/>
        <w:rPr>
          <w:sz w:val="22"/>
          <w:lang w:val="es-ES"/>
        </w:rPr>
      </w:pPr>
      <w:r w:rsidRPr="00203977">
        <w:rPr>
          <w:sz w:val="22"/>
          <w:lang w:val="es-ES"/>
        </w:rPr>
        <w:t xml:space="preserve">WPRO: Australia, </w:t>
      </w:r>
      <w:proofErr w:type="spellStart"/>
      <w:r w:rsidRPr="00203977">
        <w:rPr>
          <w:sz w:val="22"/>
          <w:lang w:val="es-ES"/>
        </w:rPr>
        <w:t>Brunei</w:t>
      </w:r>
      <w:proofErr w:type="spellEnd"/>
      <w:r w:rsidRPr="00203977">
        <w:rPr>
          <w:sz w:val="22"/>
          <w:lang w:val="es-ES"/>
        </w:rPr>
        <w:t xml:space="preserve"> Darussalam, Camboya, China, Fiyi, Indonesia, República de Corea, República Democrática Popular Lao, Malasia, Estados Federados de Micronesia, Mongolia, Nauru, Filipinas, Samoa, Singapur, Tonga, Tuvalu y Viet Nam.</w:t>
      </w:r>
    </w:p>
    <w:p w14:paraId="070131FD" w14:textId="77777777" w:rsidR="00B53D07" w:rsidRPr="00203977" w:rsidRDefault="00000000">
      <w:pPr>
        <w:pStyle w:val="Ttulo1"/>
        <w:rPr>
          <w:sz w:val="22"/>
          <w:szCs w:val="22"/>
          <w:lang w:val="es-ES"/>
        </w:rPr>
      </w:pPr>
      <w:r w:rsidRPr="00203977">
        <w:rPr>
          <w:sz w:val="22"/>
          <w:szCs w:val="22"/>
          <w:lang w:val="es-ES"/>
        </w:rPr>
        <w:t>¿A quién deberían dirigir sus contactos los miembros: a los Estados Miembros o a las misiones?</w:t>
      </w:r>
    </w:p>
    <w:p w14:paraId="53E76105" w14:textId="77777777" w:rsidR="00B53D07" w:rsidRPr="00203977" w:rsidRDefault="00000000">
      <w:pPr>
        <w:rPr>
          <w:sz w:val="22"/>
          <w:lang w:val="es-ES"/>
        </w:rPr>
      </w:pPr>
      <w:r w:rsidRPr="00203977">
        <w:rPr>
          <w:sz w:val="22"/>
          <w:lang w:val="es-ES"/>
        </w:rPr>
        <w:t>Si el gobierno de tu país ha sido invitado a participar en el Diálogo:</w:t>
      </w:r>
    </w:p>
    <w:p w14:paraId="6E81D9CD" w14:textId="1AFF993B" w:rsidR="00B53D07" w:rsidRPr="00203977" w:rsidRDefault="00000000">
      <w:pPr>
        <w:pStyle w:val="Listaconvietas"/>
        <w:rPr>
          <w:sz w:val="22"/>
          <w:lang w:val="es-ES"/>
        </w:rPr>
      </w:pPr>
      <w:r w:rsidRPr="00203977">
        <w:rPr>
          <w:sz w:val="22"/>
          <w:lang w:val="es-ES"/>
        </w:rPr>
        <w:t xml:space="preserve">Ponte en contacto con el Ministerio de Salud para alentar su participación y la adopción de compromisos sólidos, y para compartir mensajes clave de incidencia. Según la información disponible, la OMS también ha invitado a representantes de los Ministerios de Finanzas y de otros sectores </w:t>
      </w:r>
      <w:r w:rsidR="00172A05" w:rsidRPr="00203977">
        <w:rPr>
          <w:sz w:val="22"/>
          <w:lang w:val="es-ES"/>
        </w:rPr>
        <w:t>relevantes</w:t>
      </w:r>
      <w:r w:rsidRPr="00203977">
        <w:rPr>
          <w:sz w:val="22"/>
          <w:lang w:val="es-ES"/>
        </w:rPr>
        <w:t>. Como parte de tus contactos, anima a las personas de contacto del Ministerio de Salud a involucrar al Ministerio de Finanzas y a otros ministerios pertinentes en los preparativos de su gobierno para el Diálogo.</w:t>
      </w:r>
    </w:p>
    <w:p w14:paraId="068D7746" w14:textId="77777777" w:rsidR="00B53D07" w:rsidRPr="00203977" w:rsidRDefault="00000000">
      <w:pPr>
        <w:rPr>
          <w:sz w:val="22"/>
          <w:lang w:val="es-ES"/>
        </w:rPr>
      </w:pPr>
      <w:r w:rsidRPr="00203977">
        <w:rPr>
          <w:sz w:val="22"/>
          <w:lang w:val="es-ES"/>
        </w:rPr>
        <w:t>Si el gobierno de tu país no ha sido invitado a participar en el Diálogo:</w:t>
      </w:r>
    </w:p>
    <w:p w14:paraId="7C257E2F" w14:textId="061A8D0D" w:rsidR="00B53D07" w:rsidRPr="00203977" w:rsidRDefault="00000000">
      <w:pPr>
        <w:pStyle w:val="Listaconvietas"/>
        <w:rPr>
          <w:sz w:val="22"/>
          <w:lang w:val="es-ES"/>
        </w:rPr>
      </w:pPr>
      <w:r w:rsidRPr="00203977">
        <w:rPr>
          <w:sz w:val="22"/>
          <w:lang w:val="es-ES"/>
        </w:rPr>
        <w:t xml:space="preserve">Escribe a tus contactos en las misiones en Ginebra y en el Ministerio de Salud de la capital para compartir información sobre el Diálogo. Es posible que les interesen los debates y resultados de la reunión por su relevancia para las conversaciones mundiales sobre salud. Este tipo de contacto ayuda a quienes </w:t>
      </w:r>
      <w:r w:rsidR="00172A05" w:rsidRPr="00203977">
        <w:rPr>
          <w:sz w:val="22"/>
          <w:lang w:val="es-ES"/>
        </w:rPr>
        <w:t>se dedican a la</w:t>
      </w:r>
      <w:r w:rsidRPr="00203977">
        <w:rPr>
          <w:sz w:val="22"/>
          <w:lang w:val="es-ES"/>
        </w:rPr>
        <w:t xml:space="preserve"> incidencia a crear y mantener una relación </w:t>
      </w:r>
      <w:r w:rsidR="00172A05" w:rsidRPr="00203977">
        <w:rPr>
          <w:sz w:val="22"/>
          <w:lang w:val="es-ES"/>
        </w:rPr>
        <w:t>regular</w:t>
      </w:r>
      <w:r w:rsidRPr="00203977">
        <w:rPr>
          <w:sz w:val="22"/>
          <w:lang w:val="es-ES"/>
        </w:rPr>
        <w:t xml:space="preserve"> con los funcionarios </w:t>
      </w:r>
      <w:r w:rsidR="003D1765" w:rsidRPr="00203977">
        <w:rPr>
          <w:sz w:val="22"/>
          <w:lang w:val="es-ES"/>
        </w:rPr>
        <w:t>involucrados</w:t>
      </w:r>
      <w:r w:rsidRPr="00203977">
        <w:rPr>
          <w:sz w:val="22"/>
          <w:lang w:val="es-ES"/>
        </w:rPr>
        <w:t>.</w:t>
      </w:r>
    </w:p>
    <w:p w14:paraId="4566D566" w14:textId="08CE4424" w:rsidR="00B53D07" w:rsidRPr="00203977" w:rsidRDefault="00000000">
      <w:pPr>
        <w:rPr>
          <w:sz w:val="22"/>
          <w:lang w:val="es-ES"/>
        </w:rPr>
      </w:pPr>
      <w:r w:rsidRPr="00203977">
        <w:rPr>
          <w:sz w:val="22"/>
          <w:lang w:val="es-ES"/>
        </w:rPr>
        <w:t xml:space="preserve">Puedes adaptar nuestra </w:t>
      </w:r>
      <w:hyperlink r:id="rId10">
        <w:r w:rsidR="00B53D07" w:rsidRPr="00203977">
          <w:rPr>
            <w:color w:val="0563C1"/>
            <w:sz w:val="22"/>
            <w:u w:val="single"/>
            <w:lang w:val="es-ES"/>
          </w:rPr>
          <w:t>carta modelo</w:t>
        </w:r>
      </w:hyperlink>
      <w:r w:rsidRPr="00203977">
        <w:rPr>
          <w:sz w:val="22"/>
          <w:lang w:val="es-ES"/>
        </w:rPr>
        <w:t xml:space="preserve"> para orientar tus contactos.</w:t>
      </w:r>
    </w:p>
    <w:p w14:paraId="15157B5B" w14:textId="77777777" w:rsidR="00B53D07" w:rsidRPr="00203977" w:rsidRDefault="00000000">
      <w:pPr>
        <w:pStyle w:val="Ttulo1"/>
        <w:rPr>
          <w:sz w:val="22"/>
          <w:szCs w:val="22"/>
          <w:lang w:val="es-ES"/>
        </w:rPr>
      </w:pPr>
      <w:r w:rsidRPr="00203977">
        <w:rPr>
          <w:sz w:val="22"/>
          <w:szCs w:val="22"/>
          <w:lang w:val="es-ES"/>
        </w:rPr>
        <w:t>¿Qué se pide a los gobiernos?</w:t>
      </w:r>
    </w:p>
    <w:p w14:paraId="742A089B" w14:textId="77777777" w:rsidR="00B53D07" w:rsidRPr="00203977" w:rsidRDefault="00000000">
      <w:pPr>
        <w:rPr>
          <w:sz w:val="22"/>
          <w:lang w:val="es-ES"/>
        </w:rPr>
      </w:pPr>
      <w:r w:rsidRPr="00203977">
        <w:rPr>
          <w:sz w:val="22"/>
          <w:lang w:val="es-ES"/>
        </w:rPr>
        <w:t>Antes de la reunión, los gobiernos participantes recibirán la Declaración de Manila y tendrán la oportunidad de formular observaciones. Además, se invitará a algunos gobiernos a participar en distintas partes del programa. Por ejemplo, durante el segundo Diálogo sobre Financiación, celebrado en Washington hace dos años, algunos países presentaron distintas iniciativas de reforma de los sistemas de salud y de la financiación que estaban llevando a cabo, mientras que otros compartieron sus conocimientos y experiencias en paneles.</w:t>
      </w:r>
    </w:p>
    <w:p w14:paraId="0B990524" w14:textId="6C18C3DC" w:rsidR="00B53D07" w:rsidRPr="00203977" w:rsidRDefault="00000000">
      <w:pPr>
        <w:pStyle w:val="Ttulo1"/>
        <w:rPr>
          <w:sz w:val="22"/>
          <w:szCs w:val="22"/>
          <w:lang w:val="es-ES"/>
        </w:rPr>
      </w:pPr>
      <w:r w:rsidRPr="00203977">
        <w:rPr>
          <w:sz w:val="22"/>
          <w:szCs w:val="22"/>
          <w:lang w:val="es-ES"/>
        </w:rPr>
        <w:t>¿Cómo pueden participar la sociedad civil y las personas con experiencia de vida con las ENT antes del Diálogo?</w:t>
      </w:r>
    </w:p>
    <w:p w14:paraId="08670009" w14:textId="0D1EC443" w:rsidR="00B53D07" w:rsidRPr="00203977" w:rsidRDefault="00000000">
      <w:pPr>
        <w:rPr>
          <w:sz w:val="22"/>
          <w:lang w:val="es-ES"/>
        </w:rPr>
      </w:pPr>
      <w:r w:rsidRPr="00203977">
        <w:rPr>
          <w:sz w:val="22"/>
          <w:lang w:val="es-ES"/>
        </w:rPr>
        <w:t>El programa del Diálogo incluye secciones dedicadas a las personas con experiencia de vida con las ENT, incluido un panel organizado por la OMS. Aunque la reunión es solo por invitación y no existe la posibilidad de asistir virtualmente para los gobiernos, la sociedad civil o las personas con experiencia de vida, todavía hay formas significativas de participar durante los preparativos:</w:t>
      </w:r>
    </w:p>
    <w:p w14:paraId="72791775" w14:textId="2D0CC0D6" w:rsidR="00B53D07" w:rsidRPr="00203977" w:rsidRDefault="00000000">
      <w:pPr>
        <w:pStyle w:val="Listaconvietas"/>
        <w:rPr>
          <w:sz w:val="22"/>
          <w:lang w:val="es-ES"/>
        </w:rPr>
      </w:pPr>
      <w:r w:rsidRPr="00203977">
        <w:rPr>
          <w:sz w:val="22"/>
          <w:lang w:val="es-ES"/>
        </w:rPr>
        <w:t xml:space="preserve">Participa en la Semana Mundial de Acción sobre las ENT. Este año coincide con el 3.er Diálogo Internacional sobre Financiación Sostenible para las ENT y la Salud Mental. Consulta nuestro recurso </w:t>
      </w:r>
      <w:r w:rsidR="00B53D07" w:rsidRPr="00E536AE">
        <w:rPr>
          <w:sz w:val="22"/>
          <w:lang w:val="es-ES"/>
        </w:rPr>
        <w:t>«</w:t>
      </w:r>
      <w:r w:rsidR="00E536AE">
        <w:rPr>
          <w:sz w:val="22"/>
          <w:lang w:val="es-ES"/>
        </w:rPr>
        <w:fldChar w:fldCharType="begin"/>
      </w:r>
      <w:r w:rsidR="00E536AE">
        <w:rPr>
          <w:sz w:val="22"/>
          <w:lang w:val="es-ES"/>
        </w:rPr>
        <w:instrText>HYPERLINK "https://actonncds.org/resources/2026/global-week-action-2026-what-can-you-do-civil-society"</w:instrText>
      </w:r>
      <w:r w:rsidR="00E536AE">
        <w:rPr>
          <w:sz w:val="22"/>
          <w:lang w:val="es-ES"/>
        </w:rPr>
      </w:r>
      <w:r w:rsidR="00E536AE">
        <w:rPr>
          <w:sz w:val="22"/>
          <w:lang w:val="es-ES"/>
        </w:rPr>
        <w:fldChar w:fldCharType="separate"/>
      </w:r>
      <w:r w:rsidR="00B53D07" w:rsidRPr="00E536AE">
        <w:rPr>
          <w:rStyle w:val="Hipervnculo"/>
          <w:sz w:val="22"/>
          <w:lang w:val="es-ES"/>
        </w:rPr>
        <w:t>¿Qué puedes hacer como sociedad civil?</w:t>
      </w:r>
      <w:r w:rsidR="00E536AE">
        <w:rPr>
          <w:sz w:val="22"/>
          <w:lang w:val="es-ES"/>
        </w:rPr>
        <w:fldChar w:fldCharType="end"/>
      </w:r>
      <w:r w:rsidRPr="00203977">
        <w:rPr>
          <w:sz w:val="22"/>
          <w:lang w:val="es-ES"/>
        </w:rPr>
        <w:t>» para conocer las medidas que puedes adoptar antes del Diálogo.</w:t>
      </w:r>
    </w:p>
    <w:p w14:paraId="2A85DA91" w14:textId="3FE66B9D" w:rsidR="00B53D07" w:rsidRPr="00203977" w:rsidRDefault="00000000">
      <w:pPr>
        <w:pStyle w:val="Listaconvietas"/>
        <w:rPr>
          <w:sz w:val="22"/>
          <w:lang w:val="es-ES"/>
        </w:rPr>
      </w:pPr>
      <w:r w:rsidRPr="00203977">
        <w:rPr>
          <w:sz w:val="22"/>
          <w:lang w:val="es-ES"/>
        </w:rPr>
        <w:t xml:space="preserve">Utiliza los materiales de incidencia y para redes sociales disponibles en </w:t>
      </w:r>
      <w:hyperlink r:id="rId11">
        <w:r w:rsidR="00B53D07" w:rsidRPr="00203977">
          <w:rPr>
            <w:color w:val="0563C1"/>
            <w:sz w:val="22"/>
            <w:u w:val="single"/>
            <w:lang w:val="es-ES"/>
          </w:rPr>
          <w:t>ActOnNCDs.org</w:t>
        </w:r>
      </w:hyperlink>
      <w:r w:rsidRPr="00203977">
        <w:rPr>
          <w:sz w:val="22"/>
          <w:lang w:val="es-ES"/>
        </w:rPr>
        <w:t xml:space="preserve"> para compartir tu perspectiva basada en </w:t>
      </w:r>
      <w:r w:rsidR="003D1765" w:rsidRPr="00203977">
        <w:rPr>
          <w:sz w:val="22"/>
          <w:lang w:val="es-ES"/>
        </w:rPr>
        <w:t>tu</w:t>
      </w:r>
      <w:r w:rsidRPr="00203977">
        <w:rPr>
          <w:sz w:val="22"/>
          <w:lang w:val="es-ES"/>
        </w:rPr>
        <w:t xml:space="preserve"> experiencia de vida sobre la financiación de las ENT, aumentar la visibilidad y reforzar </w:t>
      </w:r>
      <w:r w:rsidR="003D1765" w:rsidRPr="00203977">
        <w:rPr>
          <w:sz w:val="22"/>
          <w:lang w:val="es-ES"/>
        </w:rPr>
        <w:t>el impacto</w:t>
      </w:r>
      <w:r w:rsidRPr="00203977">
        <w:rPr>
          <w:sz w:val="22"/>
          <w:lang w:val="es-ES"/>
        </w:rPr>
        <w:t>.</w:t>
      </w:r>
    </w:p>
    <w:sectPr w:rsidR="00B53D07" w:rsidRPr="00203977" w:rsidSect="00BC364C">
      <w:pgSz w:w="12240" w:h="15840"/>
      <w:pgMar w:top="1440" w:right="1440" w:bottom="1440" w:left="1440" w:header="708" w:footer="708"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BE2095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632515037">
    <w:abstractNumId w:val="8"/>
  </w:num>
  <w:num w:numId="2" w16cid:durableId="303966997">
    <w:abstractNumId w:val="6"/>
  </w:num>
  <w:num w:numId="3" w16cid:durableId="197014865">
    <w:abstractNumId w:val="5"/>
  </w:num>
  <w:num w:numId="4" w16cid:durableId="1743212352">
    <w:abstractNumId w:val="4"/>
  </w:num>
  <w:num w:numId="5" w16cid:durableId="1658651882">
    <w:abstractNumId w:val="7"/>
  </w:num>
  <w:num w:numId="6" w16cid:durableId="2009364414">
    <w:abstractNumId w:val="3"/>
  </w:num>
  <w:num w:numId="7" w16cid:durableId="750198133">
    <w:abstractNumId w:val="2"/>
  </w:num>
  <w:num w:numId="8" w16cid:durableId="475491509">
    <w:abstractNumId w:val="1"/>
  </w:num>
  <w:num w:numId="9" w16cid:durableId="1921138007">
    <w:abstractNumId w:val="0"/>
  </w:num>
  <w:num w:numId="10" w16cid:durableId="298611307">
    <w:abstractNumId w:val="7"/>
    <w:lvlOverride w:ilvl="0">
      <w:startOverride w:val="1"/>
    </w:lvlOverride>
  </w:num>
  <w:num w:numId="11" w16cid:durableId="540021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3"/>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2A05"/>
    <w:rsid w:val="001A406E"/>
    <w:rsid w:val="00203977"/>
    <w:rsid w:val="0029639D"/>
    <w:rsid w:val="00326F90"/>
    <w:rsid w:val="003D1765"/>
    <w:rsid w:val="00463CE9"/>
    <w:rsid w:val="00526AA6"/>
    <w:rsid w:val="006925AE"/>
    <w:rsid w:val="0081629F"/>
    <w:rsid w:val="008F2895"/>
    <w:rsid w:val="00924098"/>
    <w:rsid w:val="00AA1D8D"/>
    <w:rsid w:val="00B47730"/>
    <w:rsid w:val="00B53D07"/>
    <w:rsid w:val="00BA66F5"/>
    <w:rsid w:val="00BC364C"/>
    <w:rsid w:val="00CB0664"/>
    <w:rsid w:val="00CE5949"/>
    <w:rsid w:val="00DE2E1B"/>
    <w:rsid w:val="00E536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06B5BA"/>
  <w14:defaultImageDpi w14:val="300"/>
  <w15:docId w15:val="{B7ED2690-64B9-4E47-B2CA-D0DBED80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Calibri" w:hAnsi="Calibri"/>
      <w:color w:val="000000"/>
      <w:sz w:val="21"/>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FC693F"/>
    <w:pPr>
      <w:keepNext/>
      <w:keepLines/>
      <w:spacing w:before="200" w:after="100"/>
      <w:outlineLvl w:val="1"/>
    </w:pPr>
    <w:rPr>
      <w:rFonts w:asciiTheme="majorHAnsi" w:eastAsiaTheme="majorEastAsia" w:hAnsiTheme="majorHAnsi" w:cstheme="majorBidi"/>
      <w:b/>
      <w:bCs/>
      <w:sz w:val="24"/>
      <w:szCs w:val="26"/>
    </w:rPr>
  </w:style>
  <w:style w:type="paragraph" w:styleId="Ttulo3">
    <w:name w:val="heading 3"/>
    <w:basedOn w:val="Normal"/>
    <w:next w:val="Normal"/>
    <w:link w:val="Ttulo3Car"/>
    <w:uiPriority w:val="9"/>
    <w:unhideWhenUsed/>
    <w:qFormat/>
    <w:rsid w:val="00FC693F"/>
    <w:pPr>
      <w:keepNext/>
      <w:keepLines/>
      <w:spacing w:before="160"/>
      <w:outlineLvl w:val="2"/>
    </w:pPr>
    <w:rPr>
      <w:rFonts w:asciiTheme="majorHAnsi" w:eastAsiaTheme="majorEastAsia" w:hAnsiTheme="majorHAnsi" w:cstheme="majorBidi"/>
      <w:b/>
      <w:bCs/>
      <w:sz w:val="22"/>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spacing w:val="5"/>
      <w:kern w:val="28"/>
      <w:sz w:val="3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spacing w:line="259" w:lineRule="auto"/>
      <w:ind w:left="720"/>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spacing w:line="259" w:lineRule="auto"/>
      <w:ind w:left="720"/>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3D1765"/>
    <w:rPr>
      <w:color w:val="0000FF" w:themeColor="hyperlink"/>
      <w:u w:val="single"/>
    </w:rPr>
  </w:style>
  <w:style w:type="character" w:styleId="Mencinsinresolver">
    <w:name w:val="Unresolved Mention"/>
    <w:basedOn w:val="Fuentedeprrafopredeter"/>
    <w:uiPriority w:val="99"/>
    <w:semiHidden/>
    <w:unhideWhenUsed/>
    <w:rsid w:val="003D1765"/>
    <w:rPr>
      <w:color w:val="605E5C"/>
      <w:shd w:val="clear" w:color="auto" w:fill="E1DFDD"/>
    </w:rPr>
  </w:style>
  <w:style w:type="character" w:styleId="Hipervnculovisitado">
    <w:name w:val="FollowedHyperlink"/>
    <w:basedOn w:val="Fuentedeprrafopredeter"/>
    <w:uiPriority w:val="99"/>
    <w:semiHidden/>
    <w:unhideWhenUsed/>
    <w:rsid w:val="00E536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onncds.org/es" TargetMode="External"/><Relationship Id="rId5" Type="http://schemas.openxmlformats.org/officeDocument/2006/relationships/numbering" Target="numbering.xml"/><Relationship Id="rId10" Type="http://schemas.openxmlformats.org/officeDocument/2006/relationships/hyperlink" Target="https://actonncds.org/es/recursos/2026/modelo-de-carta-tercer-dialogo-internacional-sobre-financiacion-sostenible-para-las" TargetMode="External"/><Relationship Id="rId4" Type="http://schemas.openxmlformats.org/officeDocument/2006/relationships/customXml" Target="../customXml/item4.xml"/><Relationship Id="rId9" Type="http://schemas.openxmlformats.org/officeDocument/2006/relationships/hyperlink" Target="https://actonncds.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EE53F7CD8C96B4FBB25679FB26F2BC1" ma:contentTypeVersion="19" ma:contentTypeDescription="Create a new document." ma:contentTypeScope="" ma:versionID="5a3905a46d27af6621a8d329eb9e0b22">
  <xsd:schema xmlns:xsd="http://www.w3.org/2001/XMLSchema" xmlns:xs="http://www.w3.org/2001/XMLSchema" xmlns:p="http://schemas.microsoft.com/office/2006/metadata/properties" xmlns:ns2="0091eee2-e2de-4697-9c8a-d069f309f7f7" xmlns:ns3="215a9328-9f44-43fa-ad6c-d16280f03ff8" targetNamespace="http://schemas.microsoft.com/office/2006/metadata/properties" ma:root="true" ma:fieldsID="b083f9640dcfc376c6a02edccbf46d1c" ns2:_="" ns3:_="">
    <xsd:import namespace="0091eee2-e2de-4697-9c8a-d069f309f7f7"/>
    <xsd:import namespace="215a9328-9f44-43fa-ad6c-d16280f03f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1eee2-e2de-4697-9c8a-d069f309f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1baa2e-d44d-456e-ac5a-be863e13a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a9328-9f44-43fa-ad6c-d16280f03f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806542-b189-4ded-abfd-d1cb6e405c5a}" ma:internalName="TaxCatchAll" ma:showField="CatchAllData" ma:web="215a9328-9f44-43fa-ad6c-d16280f03f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5a9328-9f44-43fa-ad6c-d16280f03ff8" xsi:nil="true"/>
    <lcf76f155ced4ddcb4097134ff3c332f xmlns="0091eee2-e2de-4697-9c8a-d069f309f7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9F20EE-5D29-468A-B151-CA96FAC30FC6}">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5FB6221F-F7AB-40EF-9BA7-E7338C87A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1eee2-e2de-4697-9c8a-d069f309f7f7"/>
    <ds:schemaRef ds:uri="215a9328-9f44-43fa-ad6c-d16280f03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18617-DDC8-4A6A-A9A1-7157F8BF4915}">
  <ds:schemaRefs>
    <ds:schemaRef ds:uri="http://schemas.microsoft.com/office/2006/metadata/properties"/>
    <ds:schemaRef ds:uri="http://schemas.microsoft.com/office/infopath/2007/PartnerControls"/>
    <ds:schemaRef ds:uri="215a9328-9f44-43fa-ad6c-d16280f03ff8"/>
    <ds:schemaRef ds:uri="0091eee2-e2de-4697-9c8a-d069f309f7f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1314</Words>
  <Characters>7232</Characters>
  <Application>Microsoft Office Word</Application>
  <DocSecurity>0</DocSecurity>
  <Lines>60</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Preguntas frecuentes: 3.er Diálogo Internacional sobre Financiación Sostenible para las ENT y la Salud Mental</vt:lpstr>
      <vt:lpstr>Preguntas frecuentes: 3.er Diálogo Internacional sobre Financiación Sostenible para las ENT y la Salud Mental</vt:lpstr>
    </vt:vector>
  </TitlesOfParts>
  <Manager/>
  <Company/>
  <LinksUpToDate>false</LinksUpToDate>
  <CharactersWithSpaces>8529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Preguntas frecuentes: 3.er Diálogo Internacional sobre Financiación Sostenible para las ENT y la Salud Mental</dc:title>
  <dc:subject>Traducción al español</dc:subject>
  <dc:creator>NCD Alliance</dc:creator>
  <cp:keywords/>
  <dc:description>generated by python-docx</dc:description>
  <cp:lastModifiedBy>Beltrán</cp:lastModifiedBy>
  <cp:revision>4</cp:revision>
  <dcterms:created xsi:type="dcterms:W3CDTF">2026-08-11T10:47:00Z</dcterms:created>
  <dcterms:modified xsi:type="dcterms:W3CDTF">2026-08-12T12:07:00Z</dcterms:modified>
  <cp:category/>
  <dc:language>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0x0101001EE53F7CD8C96B4FBB25679FB26F2BC1</vt:lpwstr>
  </property>
</Properties>
</file>