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71CDA" w14:textId="77777777" w:rsidR="000801DE" w:rsidRPr="008A50EF" w:rsidRDefault="00812C0D" w:rsidP="00812C0D">
      <w:pPr>
        <w:rPr>
          <w:rFonts w:cstheme="minorHAnsi"/>
          <w:b/>
          <w:bCs/>
          <w:sz w:val="28"/>
          <w:szCs w:val="28"/>
        </w:rPr>
      </w:pPr>
      <w:r w:rsidRPr="008A50EF">
        <w:rPr>
          <w:rFonts w:cstheme="minorHAnsi"/>
          <w:b/>
          <w:bCs/>
          <w:sz w:val="28"/>
          <w:szCs w:val="28"/>
        </w:rPr>
        <w:t>Foire aux questions : Troisième dialogue international sur le financement durable des MNT et de la santé mentale</w:t>
      </w:r>
    </w:p>
    <w:p w14:paraId="31BA8A13" w14:textId="77777777" w:rsidR="00812C0D" w:rsidRPr="008A50EF" w:rsidRDefault="00812C0D" w:rsidP="00812C0D">
      <w:pPr>
        <w:rPr>
          <w:rFonts w:cstheme="minorHAnsi"/>
          <w:b/>
          <w:bCs/>
          <w:sz w:val="22"/>
          <w:szCs w:val="22"/>
        </w:rPr>
      </w:pPr>
    </w:p>
    <w:p w14:paraId="5C4FBB30" w14:textId="77777777" w:rsidR="00812C0D" w:rsidRPr="008A50EF" w:rsidRDefault="00812C0D" w:rsidP="00812C0D">
      <w:pPr>
        <w:rPr>
          <w:rFonts w:cstheme="minorHAnsi"/>
          <w:b/>
          <w:bCs/>
          <w:sz w:val="22"/>
          <w:szCs w:val="22"/>
        </w:rPr>
      </w:pPr>
    </w:p>
    <w:p w14:paraId="79CD1ACB" w14:textId="77777777" w:rsidR="00812C0D" w:rsidRPr="008A50EF" w:rsidRDefault="00812C0D" w:rsidP="00812C0D">
      <w:pPr>
        <w:rPr>
          <w:rFonts w:cstheme="minorHAnsi"/>
          <w:sz w:val="22"/>
          <w:szCs w:val="22"/>
        </w:rPr>
      </w:pPr>
      <w:r w:rsidRPr="008A50EF">
        <w:rPr>
          <w:rFonts w:cstheme="minorHAnsi"/>
          <w:sz w:val="22"/>
          <w:szCs w:val="22"/>
        </w:rPr>
        <w:t>Cette FAQ a pour objectif de présenter brièvement les principaux termes, actions et opportunités en vue du troisième Dialogue international sur le financement durable des MNT et de la santé mentale. Pour plus d'informations et de ressources, veuillez consulter le site web de la Semaine d'action mondiale (ActOnNCDs.org)</w:t>
      </w:r>
    </w:p>
    <w:p w14:paraId="4C89CF56" w14:textId="77777777" w:rsidR="00812C0D" w:rsidRPr="008A50EF" w:rsidRDefault="00812C0D" w:rsidP="00812C0D">
      <w:pPr>
        <w:rPr>
          <w:rFonts w:cstheme="minorHAnsi"/>
          <w:sz w:val="22"/>
          <w:szCs w:val="22"/>
        </w:rPr>
      </w:pPr>
    </w:p>
    <w:p w14:paraId="5DE3FE2B" w14:textId="77777777" w:rsidR="00812C0D" w:rsidRPr="008A50EF" w:rsidRDefault="00812C0D" w:rsidP="00812C0D">
      <w:pPr>
        <w:rPr>
          <w:rFonts w:cstheme="minorHAnsi"/>
          <w:sz w:val="22"/>
          <w:szCs w:val="22"/>
        </w:rPr>
      </w:pPr>
    </w:p>
    <w:p w14:paraId="0E9A8EFE" w14:textId="77777777" w:rsidR="00812C0D" w:rsidRPr="008A50EF" w:rsidRDefault="00812C0D" w:rsidP="00812C0D">
      <w:pPr>
        <w:rPr>
          <w:rFonts w:cstheme="minorHAnsi"/>
          <w:b/>
          <w:bCs/>
          <w:sz w:val="22"/>
          <w:szCs w:val="22"/>
        </w:rPr>
      </w:pPr>
      <w:r w:rsidRPr="008A50EF">
        <w:rPr>
          <w:rFonts w:cstheme="minorHAnsi"/>
          <w:b/>
          <w:bCs/>
          <w:sz w:val="22"/>
          <w:szCs w:val="22"/>
        </w:rPr>
        <w:t>Qu’est-ce que le troisième dialogue sur le financement des MNT et de la santé mentale ?</w:t>
      </w:r>
    </w:p>
    <w:p w14:paraId="5A6C51CE" w14:textId="77777777" w:rsidR="00812C0D" w:rsidRPr="008A50EF" w:rsidRDefault="00812C0D" w:rsidP="00812C0D">
      <w:pPr>
        <w:rPr>
          <w:rFonts w:cstheme="minorHAnsi"/>
          <w:b/>
          <w:bCs/>
          <w:sz w:val="22"/>
          <w:szCs w:val="22"/>
        </w:rPr>
      </w:pPr>
    </w:p>
    <w:p w14:paraId="088B3A22" w14:textId="77777777" w:rsidR="00812C0D" w:rsidRPr="008A50EF" w:rsidRDefault="00812C0D" w:rsidP="00812C0D">
      <w:pPr>
        <w:rPr>
          <w:rFonts w:cstheme="minorHAnsi"/>
          <w:sz w:val="22"/>
          <w:szCs w:val="22"/>
        </w:rPr>
      </w:pPr>
      <w:r w:rsidRPr="008A50EF">
        <w:rPr>
          <w:rFonts w:cstheme="minorHAnsi"/>
          <w:sz w:val="22"/>
          <w:szCs w:val="22"/>
        </w:rPr>
        <w:t>Le troisième dialogue international sur le financement durable des maladies non transmissibles et de la santé mentale, organisé par le gouvernement des Philippines, en collaboration avec l’Organisation mondiale de la santé et la Banque asiatique de développement, se tiendra à Manille du 2 au 4 septembre 2026.</w:t>
      </w:r>
    </w:p>
    <w:p w14:paraId="6041EC36" w14:textId="77777777" w:rsidR="00812C0D" w:rsidRPr="008A50EF" w:rsidRDefault="00812C0D" w:rsidP="00812C0D">
      <w:pPr>
        <w:rPr>
          <w:rFonts w:cstheme="minorHAnsi"/>
          <w:sz w:val="22"/>
          <w:szCs w:val="22"/>
        </w:rPr>
      </w:pPr>
    </w:p>
    <w:p w14:paraId="5C0FC6DB" w14:textId="77777777" w:rsidR="00812C0D" w:rsidRPr="008A50EF" w:rsidRDefault="00812C0D" w:rsidP="00812C0D">
      <w:pPr>
        <w:rPr>
          <w:rFonts w:cstheme="minorHAnsi"/>
          <w:sz w:val="22"/>
          <w:szCs w:val="22"/>
        </w:rPr>
      </w:pPr>
      <w:r w:rsidRPr="008A50EF">
        <w:rPr>
          <w:rFonts w:cstheme="minorHAnsi"/>
          <w:sz w:val="22"/>
          <w:szCs w:val="22"/>
        </w:rPr>
        <w:t xml:space="preserve">Ce dialogue vise à renforcer le financement durable et la réforme des systèmes de santé en matière de MNT et de santé mentale, en s’appuyant à la fois sur </w:t>
      </w:r>
      <w:proofErr w:type="gramStart"/>
      <w:r w:rsidRPr="008A50EF">
        <w:rPr>
          <w:rFonts w:cstheme="minorHAnsi"/>
          <w:sz w:val="22"/>
          <w:szCs w:val="22"/>
        </w:rPr>
        <w:t>les première</w:t>
      </w:r>
      <w:proofErr w:type="gramEnd"/>
      <w:r w:rsidRPr="008A50EF">
        <w:rPr>
          <w:rFonts w:cstheme="minorHAnsi"/>
          <w:sz w:val="22"/>
          <w:szCs w:val="22"/>
        </w:rPr>
        <w:t xml:space="preserve"> et deuxième éditions (2018 et 2024) ainsi que sur les nouveaux engagements pris dans la Déclaration politique de 2025 sur les MNT et la santé mentale. Ce dialogue a été programmé pour tirer parti du « Tournant de l’accès 2026 » (Access Pivot 2026), moment où les GLP-1 et les biosimilaires essentiels tomberont dans le domaine public dans de nombreux pays à revenu faible ou intermédiaire (PRFI), et est considéré comme une occasion d’accélérer la protection financière et l’intégration de la couverture sanitaire universelle (CSU).</w:t>
      </w:r>
    </w:p>
    <w:p w14:paraId="644CA755" w14:textId="77777777" w:rsidR="00812C0D" w:rsidRPr="008A50EF" w:rsidRDefault="00812C0D" w:rsidP="00812C0D">
      <w:pPr>
        <w:rPr>
          <w:rFonts w:cstheme="minorHAnsi"/>
          <w:sz w:val="22"/>
          <w:szCs w:val="22"/>
        </w:rPr>
      </w:pPr>
    </w:p>
    <w:p w14:paraId="6BBC57AB" w14:textId="77777777" w:rsidR="00812C0D" w:rsidRPr="008A50EF" w:rsidRDefault="00812C0D" w:rsidP="00812C0D">
      <w:pPr>
        <w:rPr>
          <w:rFonts w:cstheme="minorHAnsi"/>
          <w:sz w:val="22"/>
          <w:szCs w:val="22"/>
        </w:rPr>
      </w:pPr>
      <w:r w:rsidRPr="008A50EF">
        <w:rPr>
          <w:rFonts w:cstheme="minorHAnsi"/>
          <w:sz w:val="22"/>
          <w:szCs w:val="22"/>
        </w:rPr>
        <w:t>Le Dialogue débouchera sur trois résultats principaux :</w:t>
      </w:r>
    </w:p>
    <w:p w14:paraId="337C3BA0" w14:textId="77777777" w:rsidR="00812C0D" w:rsidRPr="008A50EF" w:rsidRDefault="00812C0D" w:rsidP="00812C0D">
      <w:pPr>
        <w:rPr>
          <w:rFonts w:cstheme="minorHAnsi"/>
          <w:sz w:val="22"/>
          <w:szCs w:val="22"/>
        </w:rPr>
      </w:pPr>
    </w:p>
    <w:p w14:paraId="40083062" w14:textId="77777777" w:rsidR="00812C0D" w:rsidRPr="008A50EF" w:rsidRDefault="00812C0D" w:rsidP="00812C0D">
      <w:pPr>
        <w:pStyle w:val="Prrafodelista"/>
        <w:numPr>
          <w:ilvl w:val="0"/>
          <w:numId w:val="1"/>
        </w:numPr>
        <w:rPr>
          <w:rFonts w:cstheme="minorHAnsi"/>
          <w:sz w:val="22"/>
          <w:szCs w:val="22"/>
        </w:rPr>
      </w:pPr>
      <w:r w:rsidRPr="008A50EF">
        <w:rPr>
          <w:rFonts w:cstheme="minorHAnsi"/>
          <w:sz w:val="22"/>
          <w:szCs w:val="22"/>
        </w:rPr>
        <w:t>La Déclaration de Manille, un texte réaffirmant les engagements politiques en matière de couverture sanitaire universelle (CSU), de protection financière, d’accès équitable et d’accès aux médicaments. La Déclaration sera adoptée par consensus entre les États membres ; la société civile n’a pas été invitée à contribuer à son projet.</w:t>
      </w:r>
    </w:p>
    <w:p w14:paraId="1534EF7A" w14:textId="77777777" w:rsidR="00812C0D" w:rsidRPr="008A50EF" w:rsidRDefault="00812C0D" w:rsidP="00812C0D">
      <w:pPr>
        <w:rPr>
          <w:rFonts w:cstheme="minorHAnsi"/>
          <w:sz w:val="22"/>
          <w:szCs w:val="22"/>
        </w:rPr>
      </w:pPr>
    </w:p>
    <w:p w14:paraId="2AD3E6ED" w14:textId="77777777" w:rsidR="00812C0D" w:rsidRPr="008A50EF" w:rsidRDefault="00812C0D" w:rsidP="00812C0D">
      <w:pPr>
        <w:pStyle w:val="Prrafodelista"/>
        <w:numPr>
          <w:ilvl w:val="0"/>
          <w:numId w:val="1"/>
        </w:numPr>
        <w:rPr>
          <w:rFonts w:cstheme="minorHAnsi"/>
          <w:sz w:val="22"/>
          <w:szCs w:val="22"/>
        </w:rPr>
      </w:pPr>
      <w:r w:rsidRPr="008A50EF">
        <w:rPr>
          <w:rFonts w:cstheme="minorHAnsi"/>
          <w:sz w:val="22"/>
          <w:szCs w:val="22"/>
        </w:rPr>
        <w:t>Une initiative régionale visant à améliorer la coordination en matière d’accès aux médicaments contre les MNT dans le cadre de l’initiative</w:t>
      </w:r>
      <w:proofErr w:type="gramStart"/>
      <w:r w:rsidRPr="008A50EF">
        <w:rPr>
          <w:rFonts w:cstheme="minorHAnsi"/>
          <w:sz w:val="22"/>
          <w:szCs w:val="22"/>
        </w:rPr>
        <w:t xml:space="preserve"> «Tournant</w:t>
      </w:r>
      <w:proofErr w:type="gramEnd"/>
      <w:r w:rsidRPr="008A50EF">
        <w:rPr>
          <w:rFonts w:cstheme="minorHAnsi"/>
          <w:sz w:val="22"/>
          <w:szCs w:val="22"/>
        </w:rPr>
        <w:t xml:space="preserve"> de l’accès 2026 ; mettant en avant sa valeur stratégique pour accélérer la mise sur le marché de génériques de qualité garantie, la tarification, l’accessibilité financière et l’accès au marché, en particulier pour les PRFI. Cette initiative régionale concerne la région du Bureau régional de l’OMS pour l’Asie de l’Ouest (WPRO) ; toutefois, l’OMS étudie les possibilités </w:t>
      </w:r>
      <w:proofErr w:type="gramStart"/>
      <w:r w:rsidRPr="008A50EF">
        <w:rPr>
          <w:rFonts w:cstheme="minorHAnsi"/>
          <w:sz w:val="22"/>
          <w:szCs w:val="22"/>
        </w:rPr>
        <w:t>d’ étendre</w:t>
      </w:r>
      <w:proofErr w:type="gramEnd"/>
      <w:r w:rsidRPr="008A50EF">
        <w:rPr>
          <w:rFonts w:cstheme="minorHAnsi"/>
          <w:sz w:val="22"/>
          <w:szCs w:val="22"/>
        </w:rPr>
        <w:t xml:space="preserve"> ce travail à d’autres régions au cours des prochaines années.</w:t>
      </w:r>
    </w:p>
    <w:p w14:paraId="1E4ED024" w14:textId="77777777" w:rsidR="00812C0D" w:rsidRPr="008A50EF" w:rsidRDefault="00812C0D" w:rsidP="00812C0D">
      <w:pPr>
        <w:rPr>
          <w:rFonts w:cstheme="minorHAnsi"/>
          <w:sz w:val="22"/>
          <w:szCs w:val="22"/>
        </w:rPr>
      </w:pPr>
    </w:p>
    <w:p w14:paraId="5093B7D7" w14:textId="77777777" w:rsidR="00812C0D" w:rsidRPr="008A50EF" w:rsidRDefault="00812C0D" w:rsidP="00812C0D">
      <w:pPr>
        <w:pStyle w:val="Prrafodelista"/>
        <w:numPr>
          <w:ilvl w:val="0"/>
          <w:numId w:val="1"/>
        </w:numPr>
        <w:rPr>
          <w:rFonts w:cstheme="minorHAnsi"/>
          <w:sz w:val="22"/>
          <w:szCs w:val="22"/>
        </w:rPr>
      </w:pPr>
      <w:r w:rsidRPr="008A50EF">
        <w:rPr>
          <w:rFonts w:cstheme="minorHAnsi"/>
          <w:sz w:val="22"/>
          <w:szCs w:val="22"/>
        </w:rPr>
        <w:t>Un guide pratique à l’intention des gouvernements, proposant des conseils techniques pour mettre en œuvre des réformes de financement et d’achats stratégiques, avec des outils couvrant tout le continuum des politiques, des pratiques et de la tarification.</w:t>
      </w:r>
    </w:p>
    <w:p w14:paraId="4E0086E0" w14:textId="77777777" w:rsidR="00812C0D" w:rsidRPr="008A50EF" w:rsidRDefault="00812C0D" w:rsidP="00812C0D">
      <w:pPr>
        <w:pStyle w:val="Prrafodelista"/>
        <w:rPr>
          <w:rFonts w:cstheme="minorHAnsi"/>
          <w:sz w:val="22"/>
          <w:szCs w:val="22"/>
        </w:rPr>
      </w:pPr>
    </w:p>
    <w:p w14:paraId="05431C11" w14:textId="77777777" w:rsidR="00812C0D" w:rsidRPr="008A50EF" w:rsidRDefault="00812C0D" w:rsidP="00812C0D">
      <w:pPr>
        <w:rPr>
          <w:rFonts w:cstheme="minorHAnsi"/>
          <w:sz w:val="22"/>
          <w:szCs w:val="22"/>
        </w:rPr>
      </w:pPr>
    </w:p>
    <w:p w14:paraId="7A985FBC" w14:textId="77777777" w:rsidR="00812C0D" w:rsidRPr="008A50EF" w:rsidRDefault="00510446" w:rsidP="00812C0D">
      <w:pPr>
        <w:rPr>
          <w:rFonts w:cstheme="minorHAnsi"/>
          <w:b/>
          <w:bCs/>
          <w:sz w:val="22"/>
          <w:szCs w:val="22"/>
        </w:rPr>
      </w:pPr>
      <w:r w:rsidRPr="008A50EF">
        <w:rPr>
          <w:rFonts w:cstheme="minorHAnsi"/>
          <w:b/>
          <w:bCs/>
          <w:sz w:val="22"/>
          <w:szCs w:val="22"/>
        </w:rPr>
        <w:t>Qu'est-ce que le « Tournant de l’accès 2026 » ?</w:t>
      </w:r>
    </w:p>
    <w:p w14:paraId="429DABE7" w14:textId="77777777" w:rsidR="00510446" w:rsidRPr="008A50EF" w:rsidRDefault="00510446" w:rsidP="00812C0D">
      <w:pPr>
        <w:rPr>
          <w:rFonts w:cstheme="minorHAnsi"/>
          <w:sz w:val="22"/>
          <w:szCs w:val="22"/>
        </w:rPr>
      </w:pPr>
    </w:p>
    <w:p w14:paraId="35D89975" w14:textId="77777777" w:rsidR="00510446" w:rsidRPr="008A50EF" w:rsidRDefault="00510446" w:rsidP="00510446">
      <w:pPr>
        <w:rPr>
          <w:rFonts w:cstheme="minorHAnsi"/>
          <w:sz w:val="22"/>
          <w:szCs w:val="22"/>
        </w:rPr>
      </w:pPr>
      <w:r w:rsidRPr="008A50EF">
        <w:rPr>
          <w:rFonts w:cstheme="minorHAnsi"/>
          <w:sz w:val="22"/>
          <w:szCs w:val="22"/>
        </w:rPr>
        <w:t>Le « Tournant de l’accès en 2026 » fait référence au fait qu’en 2026, de nombreux médicaments à fort impact contre les MNT, tels que les GLP-1 et les biosimilaires essentiels, arriveront en fin de brevet dans les PRFI. Cela est considéré comme une occasion unique de :</w:t>
      </w:r>
    </w:p>
    <w:p w14:paraId="5183DD7E" w14:textId="77777777" w:rsidR="00510446" w:rsidRPr="008A50EF" w:rsidRDefault="00510446" w:rsidP="00510446">
      <w:pPr>
        <w:rPr>
          <w:rFonts w:cstheme="minorHAnsi"/>
          <w:sz w:val="22"/>
          <w:szCs w:val="22"/>
        </w:rPr>
      </w:pPr>
    </w:p>
    <w:p w14:paraId="4AD50942" w14:textId="77777777" w:rsidR="00510446" w:rsidRPr="008A50EF" w:rsidRDefault="00510446" w:rsidP="00510446">
      <w:pPr>
        <w:pStyle w:val="Prrafodelista"/>
        <w:numPr>
          <w:ilvl w:val="0"/>
          <w:numId w:val="2"/>
        </w:numPr>
        <w:rPr>
          <w:rFonts w:cstheme="minorHAnsi"/>
          <w:sz w:val="22"/>
          <w:szCs w:val="22"/>
        </w:rPr>
      </w:pPr>
      <w:r w:rsidRPr="008A50EF">
        <w:rPr>
          <w:rFonts w:cstheme="minorHAnsi"/>
          <w:sz w:val="22"/>
          <w:szCs w:val="22"/>
        </w:rPr>
        <w:t>Améliorer l’accessibilité financière grâce à l’intégration de médicaments génériques et biosimilaires de qualité garantie dans les paniers de soins de la CSU ; et</w:t>
      </w:r>
    </w:p>
    <w:p w14:paraId="69D104B0" w14:textId="77777777" w:rsidR="00510446" w:rsidRPr="008A50EF" w:rsidRDefault="00510446" w:rsidP="00510446">
      <w:pPr>
        <w:rPr>
          <w:rFonts w:cstheme="minorHAnsi"/>
          <w:sz w:val="22"/>
          <w:szCs w:val="22"/>
        </w:rPr>
      </w:pPr>
    </w:p>
    <w:p w14:paraId="12ADBA5E" w14:textId="77777777" w:rsidR="00510446" w:rsidRPr="008A50EF" w:rsidRDefault="00510446" w:rsidP="00510446">
      <w:pPr>
        <w:pStyle w:val="Prrafodelista"/>
        <w:numPr>
          <w:ilvl w:val="0"/>
          <w:numId w:val="2"/>
        </w:numPr>
        <w:rPr>
          <w:rFonts w:cstheme="minorHAnsi"/>
          <w:sz w:val="22"/>
          <w:szCs w:val="22"/>
        </w:rPr>
      </w:pPr>
      <w:r w:rsidRPr="008A50EF">
        <w:rPr>
          <w:rFonts w:cstheme="minorHAnsi"/>
          <w:sz w:val="22"/>
          <w:szCs w:val="22"/>
        </w:rPr>
        <w:t>Renforcer la protection financière en passant d’une situation caractérisée par des dépenses directes à la charge des patients élevées à un accès prévisible et financé par les pouvoirs publics.</w:t>
      </w:r>
    </w:p>
    <w:p w14:paraId="2DD3673D" w14:textId="77777777" w:rsidR="00510446" w:rsidRPr="008A50EF" w:rsidRDefault="00510446" w:rsidP="00510446">
      <w:pPr>
        <w:pStyle w:val="Prrafodelista"/>
        <w:rPr>
          <w:rFonts w:cstheme="minorHAnsi"/>
          <w:sz w:val="22"/>
          <w:szCs w:val="22"/>
        </w:rPr>
      </w:pPr>
    </w:p>
    <w:p w14:paraId="222C66C1" w14:textId="77777777" w:rsidR="00510446" w:rsidRPr="008A50EF" w:rsidRDefault="00510446" w:rsidP="00510446">
      <w:pPr>
        <w:rPr>
          <w:rFonts w:cstheme="minorHAnsi"/>
          <w:sz w:val="22"/>
          <w:szCs w:val="22"/>
        </w:rPr>
      </w:pPr>
      <w:r w:rsidRPr="008A50EF">
        <w:rPr>
          <w:rFonts w:cstheme="minorHAnsi"/>
          <w:sz w:val="22"/>
          <w:szCs w:val="22"/>
        </w:rPr>
        <w:t>Ce dialogue est organisé à un moment stratégique pour saisir cette opportunité d’accélérer la protection financière et l’intégration de la CSU, en élargissant l’accès grâce à la production de médicaments génériques, aux achats groupés et aux accords de licence volontaires. Tant la Déclaration de Manille que le pacte régional comportent des sections spécifiques consacrées au</w:t>
      </w:r>
      <w:proofErr w:type="gramStart"/>
      <w:r w:rsidRPr="008A50EF">
        <w:rPr>
          <w:rFonts w:cstheme="minorHAnsi"/>
          <w:sz w:val="22"/>
          <w:szCs w:val="22"/>
        </w:rPr>
        <w:t xml:space="preserve"> «Tournant</w:t>
      </w:r>
      <w:proofErr w:type="gramEnd"/>
      <w:r w:rsidRPr="008A50EF">
        <w:rPr>
          <w:rFonts w:cstheme="minorHAnsi"/>
          <w:sz w:val="22"/>
          <w:szCs w:val="22"/>
        </w:rPr>
        <w:t xml:space="preserve"> de l’accès 2026 ». Bien que les points à l’ordre du jour relatifs au « Tournant de l’accès » se concentrent principalement sur les GLP-1 et les technologies liées au diabète, la NCDA encourage à ce que les principes de ce tournant soient toujours envisagés dans le contexte plus large de la nécessité d’améliorer l’accès à tous les médicaments destinés au traitement des MNT, dont la majorité n’est déjà plus protégée par un brevet.</w:t>
      </w:r>
    </w:p>
    <w:p w14:paraId="1C6EBA8E" w14:textId="77777777" w:rsidR="00510446" w:rsidRPr="008A50EF" w:rsidRDefault="00510446" w:rsidP="00510446">
      <w:pPr>
        <w:rPr>
          <w:rFonts w:cstheme="minorHAnsi"/>
          <w:sz w:val="22"/>
          <w:szCs w:val="22"/>
        </w:rPr>
      </w:pPr>
    </w:p>
    <w:p w14:paraId="5EF79527" w14:textId="77777777" w:rsidR="00510446" w:rsidRPr="008A50EF" w:rsidRDefault="00510446" w:rsidP="00510446">
      <w:pPr>
        <w:rPr>
          <w:rFonts w:cstheme="minorHAnsi"/>
          <w:b/>
          <w:bCs/>
          <w:sz w:val="22"/>
          <w:szCs w:val="22"/>
        </w:rPr>
      </w:pPr>
      <w:r w:rsidRPr="008A50EF">
        <w:rPr>
          <w:rFonts w:cstheme="minorHAnsi"/>
          <w:b/>
          <w:bCs/>
          <w:sz w:val="22"/>
          <w:szCs w:val="22"/>
        </w:rPr>
        <w:t>Qui est invité à ce dialogue ?</w:t>
      </w:r>
    </w:p>
    <w:p w14:paraId="5B21E284" w14:textId="77777777" w:rsidR="00510446" w:rsidRPr="008A50EF" w:rsidRDefault="00510446" w:rsidP="00510446">
      <w:pPr>
        <w:rPr>
          <w:rFonts w:cstheme="minorHAnsi"/>
          <w:sz w:val="22"/>
          <w:szCs w:val="22"/>
        </w:rPr>
      </w:pPr>
    </w:p>
    <w:p w14:paraId="3DFBCAA1" w14:textId="77777777" w:rsidR="00510446" w:rsidRPr="008A50EF" w:rsidRDefault="00510446" w:rsidP="00510446">
      <w:pPr>
        <w:rPr>
          <w:rFonts w:cstheme="minorHAnsi"/>
          <w:sz w:val="22"/>
          <w:szCs w:val="22"/>
        </w:rPr>
      </w:pPr>
      <w:r w:rsidRPr="008A50EF">
        <w:rPr>
          <w:rFonts w:cstheme="minorHAnsi"/>
          <w:sz w:val="22"/>
          <w:szCs w:val="22"/>
        </w:rPr>
        <w:t>L'OMS a invité des représentants de 62 gouvernements à participer à ce dialogue, notamment des ministres et des hauts responsables des secteurs de la santé, des finances, du commerce et de la planification. Environ 300 personnes devraient y participer, notamment des représentants de l'OMS, des agences des Nations unies, de la Banque mondiale et de la Banque asiatique de développement, ainsi que des partenaires au développement, des universitaires, des représentants de la société civile et des personnes ayant une expérience de terrain.</w:t>
      </w:r>
    </w:p>
    <w:p w14:paraId="7F9952CF" w14:textId="77777777" w:rsidR="00510446" w:rsidRPr="008A50EF" w:rsidRDefault="00510446" w:rsidP="00510446">
      <w:pPr>
        <w:rPr>
          <w:rFonts w:cstheme="minorHAnsi"/>
          <w:sz w:val="22"/>
          <w:szCs w:val="22"/>
        </w:rPr>
      </w:pPr>
    </w:p>
    <w:p w14:paraId="380AC49D" w14:textId="77777777" w:rsidR="00510446" w:rsidRPr="008A50EF" w:rsidRDefault="00510446" w:rsidP="00510446">
      <w:pPr>
        <w:rPr>
          <w:rFonts w:cstheme="minorHAnsi"/>
          <w:sz w:val="22"/>
          <w:szCs w:val="22"/>
        </w:rPr>
      </w:pPr>
      <w:r w:rsidRPr="008A50EF">
        <w:rPr>
          <w:rFonts w:cstheme="minorHAnsi"/>
          <w:sz w:val="22"/>
          <w:szCs w:val="22"/>
        </w:rPr>
        <w:t>Liste des gouvernements invités par région :</w:t>
      </w:r>
    </w:p>
    <w:p w14:paraId="102586CA" w14:textId="77777777" w:rsidR="00510446" w:rsidRPr="008A50EF" w:rsidRDefault="00510446" w:rsidP="00510446">
      <w:pPr>
        <w:rPr>
          <w:rFonts w:cstheme="minorHAnsi"/>
          <w:sz w:val="22"/>
          <w:szCs w:val="22"/>
        </w:rPr>
      </w:pPr>
    </w:p>
    <w:p w14:paraId="0AB0BF5D" w14:textId="77777777" w:rsidR="00510446" w:rsidRPr="008A50EF" w:rsidRDefault="00510446" w:rsidP="00510446">
      <w:pPr>
        <w:pStyle w:val="Prrafodelista"/>
        <w:numPr>
          <w:ilvl w:val="0"/>
          <w:numId w:val="4"/>
        </w:numPr>
        <w:rPr>
          <w:rFonts w:cstheme="minorHAnsi"/>
          <w:sz w:val="22"/>
          <w:szCs w:val="22"/>
        </w:rPr>
      </w:pPr>
      <w:r w:rsidRPr="008A50EF">
        <w:rPr>
          <w:rFonts w:cstheme="minorHAnsi"/>
          <w:sz w:val="22"/>
          <w:szCs w:val="22"/>
        </w:rPr>
        <w:t>Afrique : Ghana, Kenya, Maurice, Nigeria, Afrique du Sud, Tanzanie, République du Congo, Sao Tomé et Principe, Seychelles et Gabon.</w:t>
      </w:r>
    </w:p>
    <w:p w14:paraId="39AA0D4E" w14:textId="77777777" w:rsidR="00510446" w:rsidRPr="008A50EF" w:rsidRDefault="00510446" w:rsidP="00510446">
      <w:pPr>
        <w:pStyle w:val="Prrafodelista"/>
        <w:numPr>
          <w:ilvl w:val="0"/>
          <w:numId w:val="4"/>
        </w:numPr>
        <w:rPr>
          <w:rFonts w:cstheme="minorHAnsi"/>
          <w:sz w:val="22"/>
          <w:szCs w:val="22"/>
        </w:rPr>
      </w:pPr>
      <w:r w:rsidRPr="008A50EF">
        <w:rPr>
          <w:rFonts w:cstheme="minorHAnsi"/>
          <w:sz w:val="22"/>
          <w:szCs w:val="22"/>
        </w:rPr>
        <w:t xml:space="preserve">Méditerranée </w:t>
      </w:r>
      <w:proofErr w:type="gramStart"/>
      <w:r w:rsidRPr="008A50EF">
        <w:rPr>
          <w:rFonts w:cstheme="minorHAnsi"/>
          <w:sz w:val="22"/>
          <w:szCs w:val="22"/>
        </w:rPr>
        <w:t>orientale  :</w:t>
      </w:r>
      <w:proofErr w:type="gramEnd"/>
      <w:r w:rsidRPr="008A50EF">
        <w:rPr>
          <w:rFonts w:cstheme="minorHAnsi"/>
          <w:sz w:val="22"/>
          <w:szCs w:val="22"/>
        </w:rPr>
        <w:t xml:space="preserve"> Égypte, Oman, Pakistan, Arabie saoudite, Émirats arabes unis, Koweït et Djibouti.</w:t>
      </w:r>
    </w:p>
    <w:p w14:paraId="4BCD3DDB" w14:textId="77777777" w:rsidR="00510446" w:rsidRPr="008A50EF" w:rsidRDefault="00510446" w:rsidP="00510446">
      <w:pPr>
        <w:pStyle w:val="Prrafodelista"/>
        <w:numPr>
          <w:ilvl w:val="0"/>
          <w:numId w:val="4"/>
        </w:numPr>
        <w:rPr>
          <w:rFonts w:cstheme="minorHAnsi"/>
          <w:sz w:val="22"/>
          <w:szCs w:val="22"/>
        </w:rPr>
      </w:pPr>
      <w:r w:rsidRPr="008A50EF">
        <w:rPr>
          <w:rFonts w:cstheme="minorHAnsi"/>
          <w:sz w:val="22"/>
          <w:szCs w:val="22"/>
        </w:rPr>
        <w:t>Europe : Danemark, France, Allemagne, Israël, Kazakhstan, Ukraine, Royaume-Uni, Ouzbékistan, Monténégro et le gouvernement écossais.</w:t>
      </w:r>
    </w:p>
    <w:p w14:paraId="1BCAD034" w14:textId="77777777" w:rsidR="00510446" w:rsidRPr="008A50EF" w:rsidRDefault="00510446" w:rsidP="00510446">
      <w:pPr>
        <w:pStyle w:val="Prrafodelista"/>
        <w:numPr>
          <w:ilvl w:val="0"/>
          <w:numId w:val="4"/>
        </w:numPr>
        <w:rPr>
          <w:rFonts w:cstheme="minorHAnsi"/>
          <w:sz w:val="22"/>
          <w:szCs w:val="22"/>
        </w:rPr>
      </w:pPr>
      <w:r w:rsidRPr="008A50EF">
        <w:rPr>
          <w:rFonts w:cstheme="minorHAnsi"/>
          <w:sz w:val="22"/>
          <w:szCs w:val="22"/>
        </w:rPr>
        <w:t>Amériques : Brésil, Canada, Chili, Jamaïque, Pérou, États-Unis, Uruguay, El Salvador, Grenade, et Guyane.</w:t>
      </w:r>
    </w:p>
    <w:p w14:paraId="4EA225F8" w14:textId="77777777" w:rsidR="00510446" w:rsidRPr="008A50EF" w:rsidRDefault="00510446" w:rsidP="00510446">
      <w:pPr>
        <w:pStyle w:val="Prrafodelista"/>
        <w:numPr>
          <w:ilvl w:val="0"/>
          <w:numId w:val="4"/>
        </w:numPr>
        <w:rPr>
          <w:rFonts w:cstheme="minorHAnsi"/>
          <w:sz w:val="22"/>
          <w:szCs w:val="22"/>
        </w:rPr>
      </w:pPr>
      <w:r w:rsidRPr="008A50EF">
        <w:rPr>
          <w:rFonts w:cstheme="minorHAnsi"/>
          <w:sz w:val="22"/>
          <w:szCs w:val="22"/>
        </w:rPr>
        <w:t>Asie du Sud-Est : Bangladesh, Inde, Maldives, Népal, Thaïlande, Timor-Leste et Myanmar.</w:t>
      </w:r>
    </w:p>
    <w:p w14:paraId="3D977515" w14:textId="77777777" w:rsidR="00510446" w:rsidRPr="008A50EF" w:rsidRDefault="00321939" w:rsidP="00510446">
      <w:pPr>
        <w:pStyle w:val="Prrafodelista"/>
        <w:numPr>
          <w:ilvl w:val="0"/>
          <w:numId w:val="4"/>
        </w:numPr>
        <w:rPr>
          <w:rFonts w:cstheme="minorHAnsi"/>
          <w:sz w:val="22"/>
          <w:szCs w:val="22"/>
        </w:rPr>
      </w:pPr>
      <w:r w:rsidRPr="008A50EF">
        <w:rPr>
          <w:rFonts w:cstheme="minorHAnsi"/>
          <w:sz w:val="22"/>
          <w:szCs w:val="22"/>
        </w:rPr>
        <w:t>Pacifique occidental</w:t>
      </w:r>
      <w:r w:rsidR="00510446" w:rsidRPr="008A50EF">
        <w:rPr>
          <w:rFonts w:cstheme="minorHAnsi"/>
          <w:sz w:val="22"/>
          <w:szCs w:val="22"/>
        </w:rPr>
        <w:t xml:space="preserve"> : Australie, Brunei Darussalam, Cambodge, Chine, Fidji, Indonésie, République de Corée, République démocratique populaire lao, Malaisie, États fédérés de Micronésie, Mongolie, Nauru, Philippines, Samoa, Singapour, Tonga, Tuvalu et Viêt Nam.</w:t>
      </w:r>
    </w:p>
    <w:p w14:paraId="7673863C" w14:textId="77777777" w:rsidR="00321939" w:rsidRPr="008A50EF" w:rsidRDefault="00321939" w:rsidP="00321939">
      <w:pPr>
        <w:rPr>
          <w:rFonts w:cstheme="minorHAnsi"/>
          <w:sz w:val="22"/>
          <w:szCs w:val="22"/>
        </w:rPr>
      </w:pPr>
    </w:p>
    <w:p w14:paraId="48F1A34F" w14:textId="77777777" w:rsidR="00321939" w:rsidRPr="008A50EF" w:rsidRDefault="00321939" w:rsidP="00321939">
      <w:pPr>
        <w:rPr>
          <w:rFonts w:cstheme="minorHAnsi"/>
          <w:b/>
          <w:bCs/>
          <w:sz w:val="22"/>
          <w:szCs w:val="22"/>
        </w:rPr>
      </w:pPr>
      <w:r w:rsidRPr="008A50EF">
        <w:rPr>
          <w:rFonts w:cstheme="minorHAnsi"/>
          <w:b/>
          <w:bCs/>
          <w:sz w:val="22"/>
          <w:szCs w:val="22"/>
        </w:rPr>
        <w:t>À qui les membres doivent-ils s'adresser dans le cadre de leurs actions de sensibilisation : aux États membres ou aux missions ?</w:t>
      </w:r>
    </w:p>
    <w:p w14:paraId="7912DCBF" w14:textId="77777777" w:rsidR="00321939" w:rsidRPr="008A50EF" w:rsidRDefault="00321939" w:rsidP="00321939">
      <w:pPr>
        <w:rPr>
          <w:rFonts w:cstheme="minorHAnsi"/>
          <w:b/>
          <w:bCs/>
          <w:sz w:val="22"/>
          <w:szCs w:val="22"/>
        </w:rPr>
      </w:pPr>
    </w:p>
    <w:p w14:paraId="63AB7D6D" w14:textId="77777777" w:rsidR="00321939" w:rsidRPr="008A50EF" w:rsidRDefault="00321939" w:rsidP="00321939">
      <w:pPr>
        <w:rPr>
          <w:rFonts w:cstheme="minorHAnsi"/>
          <w:sz w:val="22"/>
          <w:szCs w:val="22"/>
        </w:rPr>
      </w:pPr>
      <w:r w:rsidRPr="008A50EF">
        <w:rPr>
          <w:rFonts w:cstheme="minorHAnsi"/>
          <w:sz w:val="22"/>
          <w:szCs w:val="22"/>
        </w:rPr>
        <w:t>Si le gouvernement de votre pays a été invité à participer au Dialogue :</w:t>
      </w:r>
    </w:p>
    <w:p w14:paraId="44F7A9F8" w14:textId="77777777" w:rsidR="00321939" w:rsidRPr="008A50EF" w:rsidRDefault="00321939" w:rsidP="00321939">
      <w:pPr>
        <w:rPr>
          <w:rFonts w:cstheme="minorHAnsi"/>
          <w:sz w:val="22"/>
          <w:szCs w:val="22"/>
        </w:rPr>
      </w:pPr>
    </w:p>
    <w:p w14:paraId="6C407418" w14:textId="77777777" w:rsidR="00321939" w:rsidRPr="008A50EF" w:rsidRDefault="00321939" w:rsidP="00321939">
      <w:pPr>
        <w:pStyle w:val="Prrafodelista"/>
        <w:numPr>
          <w:ilvl w:val="0"/>
          <w:numId w:val="5"/>
        </w:numPr>
        <w:rPr>
          <w:rFonts w:cstheme="minorHAnsi"/>
          <w:sz w:val="22"/>
          <w:szCs w:val="22"/>
        </w:rPr>
      </w:pPr>
      <w:r w:rsidRPr="008A50EF">
        <w:rPr>
          <w:rFonts w:cstheme="minorHAnsi"/>
          <w:sz w:val="22"/>
          <w:szCs w:val="22"/>
        </w:rPr>
        <w:t>Contactez vos ministères de la Santé pour les encourager à participer activement et à formuler des engagements clairs, tout en leur transmettant les principaux messages de plaidoyer. L’OMS ayant également invité des représentants des ministères des Finances et d’autres secteurs concernés, invitez vos interlocuteurs au sein du ministère de la Santé à associer ces ministères aux préparatifs de leur gouvernement en vue du Dialogue. </w:t>
      </w:r>
    </w:p>
    <w:p w14:paraId="7FB2B739" w14:textId="77777777" w:rsidR="00321939" w:rsidRPr="008A50EF" w:rsidRDefault="00321939" w:rsidP="00321939">
      <w:pPr>
        <w:pStyle w:val="Prrafodelista"/>
        <w:rPr>
          <w:rFonts w:cstheme="minorHAnsi"/>
          <w:sz w:val="22"/>
          <w:szCs w:val="22"/>
        </w:rPr>
      </w:pPr>
    </w:p>
    <w:p w14:paraId="062C0550" w14:textId="77777777" w:rsidR="00321939" w:rsidRPr="008A50EF" w:rsidRDefault="00321939" w:rsidP="00321939">
      <w:pPr>
        <w:rPr>
          <w:rFonts w:cstheme="minorHAnsi"/>
          <w:sz w:val="22"/>
          <w:szCs w:val="22"/>
        </w:rPr>
      </w:pPr>
      <w:r w:rsidRPr="008A50EF">
        <w:rPr>
          <w:rFonts w:cstheme="minorHAnsi"/>
          <w:sz w:val="22"/>
          <w:szCs w:val="22"/>
        </w:rPr>
        <w:t>Si le gouvernement de votre pays n’a pas été invité à participer au Dialogue :</w:t>
      </w:r>
    </w:p>
    <w:p w14:paraId="61D48E6D" w14:textId="77777777" w:rsidR="00321939" w:rsidRPr="008A50EF" w:rsidRDefault="00321939" w:rsidP="00321939">
      <w:pPr>
        <w:rPr>
          <w:rFonts w:cstheme="minorHAnsi"/>
          <w:sz w:val="22"/>
          <w:szCs w:val="22"/>
        </w:rPr>
      </w:pPr>
    </w:p>
    <w:p w14:paraId="3268C690" w14:textId="77777777" w:rsidR="00321939" w:rsidRPr="008A50EF" w:rsidRDefault="00321939" w:rsidP="00321939">
      <w:pPr>
        <w:pStyle w:val="Prrafodelista"/>
        <w:numPr>
          <w:ilvl w:val="0"/>
          <w:numId w:val="5"/>
        </w:numPr>
        <w:rPr>
          <w:rFonts w:cstheme="minorHAnsi"/>
          <w:sz w:val="22"/>
          <w:szCs w:val="22"/>
        </w:rPr>
      </w:pPr>
      <w:r w:rsidRPr="008A50EF">
        <w:rPr>
          <w:rFonts w:cstheme="minorHAnsi"/>
          <w:sz w:val="22"/>
          <w:szCs w:val="22"/>
        </w:rPr>
        <w:t>Si votre gouvernement n’a pas été invité, écrivez à vos interlocuteurs au sein des missions diplomatiques à Genève et des ministères de la Santé dans la capitale pour leur faire part des informations concernant le Dialogue. Ils pourraient être intéressés par les discussions qui s’y tiennent et par les résultats de la réunion, compte tenu de leur pertinence pour les débats sur la santé mondiale. Ce type d’action de sensibilisation aide les défenseurs à établir et à entretenir des contacts réguliers avec les responsables concernés.</w:t>
      </w:r>
    </w:p>
    <w:p w14:paraId="7896496B" w14:textId="77777777" w:rsidR="00321939" w:rsidRPr="008A50EF" w:rsidRDefault="00321939" w:rsidP="00321939">
      <w:pPr>
        <w:rPr>
          <w:rFonts w:cstheme="minorHAnsi"/>
          <w:sz w:val="22"/>
          <w:szCs w:val="22"/>
        </w:rPr>
      </w:pPr>
    </w:p>
    <w:p w14:paraId="388B762C" w14:textId="77777777" w:rsidR="00321939" w:rsidRPr="008A50EF" w:rsidRDefault="00321939" w:rsidP="00321939">
      <w:pPr>
        <w:rPr>
          <w:rFonts w:cstheme="minorHAnsi"/>
          <w:sz w:val="22"/>
          <w:szCs w:val="22"/>
        </w:rPr>
      </w:pPr>
      <w:r w:rsidRPr="008A50EF">
        <w:rPr>
          <w:rFonts w:cstheme="minorHAnsi"/>
          <w:sz w:val="22"/>
          <w:szCs w:val="22"/>
        </w:rPr>
        <w:t xml:space="preserve">Vous pouvez adapter notre </w:t>
      </w:r>
      <w:hyperlink r:id="rId5" w:history="1">
        <w:r w:rsidRPr="008A50EF">
          <w:rPr>
            <w:rStyle w:val="Hipervnculo"/>
            <w:rFonts w:cstheme="minorHAnsi"/>
            <w:sz w:val="22"/>
            <w:szCs w:val="22"/>
          </w:rPr>
          <w:t>modèle de lettre</w:t>
        </w:r>
      </w:hyperlink>
      <w:r w:rsidRPr="008A50EF">
        <w:rPr>
          <w:rFonts w:cstheme="minorHAnsi"/>
          <w:sz w:val="22"/>
          <w:szCs w:val="22"/>
        </w:rPr>
        <w:t xml:space="preserve"> pour vous aider dans vos démarches.</w:t>
      </w:r>
    </w:p>
    <w:p w14:paraId="594149D4" w14:textId="77777777" w:rsidR="00321939" w:rsidRPr="008A50EF" w:rsidRDefault="00321939" w:rsidP="00321939">
      <w:pPr>
        <w:rPr>
          <w:rFonts w:cstheme="minorHAnsi"/>
          <w:sz w:val="22"/>
          <w:szCs w:val="22"/>
        </w:rPr>
      </w:pPr>
    </w:p>
    <w:p w14:paraId="38BA2DAC" w14:textId="77777777" w:rsidR="00321939" w:rsidRPr="008A50EF" w:rsidRDefault="00321939" w:rsidP="00321939">
      <w:pPr>
        <w:rPr>
          <w:rFonts w:cstheme="minorHAnsi"/>
          <w:b/>
          <w:bCs/>
          <w:sz w:val="22"/>
          <w:szCs w:val="22"/>
        </w:rPr>
      </w:pPr>
      <w:r w:rsidRPr="008A50EF">
        <w:rPr>
          <w:rFonts w:cstheme="minorHAnsi"/>
          <w:b/>
          <w:bCs/>
          <w:sz w:val="22"/>
          <w:szCs w:val="22"/>
        </w:rPr>
        <w:t>Que demande-t-on aux gouvernements ?</w:t>
      </w:r>
    </w:p>
    <w:p w14:paraId="5976E94A" w14:textId="77777777" w:rsidR="00321939" w:rsidRPr="008A50EF" w:rsidRDefault="00321939" w:rsidP="00321939">
      <w:pPr>
        <w:rPr>
          <w:rFonts w:cstheme="minorHAnsi"/>
          <w:sz w:val="22"/>
          <w:szCs w:val="22"/>
        </w:rPr>
      </w:pPr>
    </w:p>
    <w:p w14:paraId="41E09280" w14:textId="77777777" w:rsidR="00321939" w:rsidRPr="008A50EF" w:rsidRDefault="00321939" w:rsidP="00321939">
      <w:pPr>
        <w:rPr>
          <w:rFonts w:cstheme="minorHAnsi"/>
          <w:sz w:val="22"/>
          <w:szCs w:val="22"/>
        </w:rPr>
      </w:pPr>
      <w:r w:rsidRPr="008A50EF">
        <w:rPr>
          <w:rFonts w:cstheme="minorHAnsi"/>
          <w:sz w:val="22"/>
          <w:szCs w:val="22"/>
        </w:rPr>
        <w:t>Avant la réunion, les gouvernements participants recevront la Déclaration de Manille et auront l’occasion de donner leur avis à ce sujet. De plus, certains gouvernements seront invités à intervenir sur différents points de l’ordre du jour. Par exemple, lors du 2e Dialogue sur le financement qui s’est tenu à Washington il y a deux ans, certains pays ont présenté les différentes réformes de leur système de santé et de leur financement qu’ils mettaient en œuvre, tandis que d’autres ont partagé leurs connaissances et leurs expériences lors d’interventions dans le cadre de tables rondes.</w:t>
      </w:r>
    </w:p>
    <w:p w14:paraId="5F611170" w14:textId="77777777" w:rsidR="00321939" w:rsidRPr="008A50EF" w:rsidRDefault="00321939" w:rsidP="00321939">
      <w:pPr>
        <w:rPr>
          <w:rFonts w:cstheme="minorHAnsi"/>
          <w:sz w:val="22"/>
          <w:szCs w:val="22"/>
        </w:rPr>
      </w:pPr>
    </w:p>
    <w:p w14:paraId="29E6E6D5" w14:textId="77777777" w:rsidR="00321939" w:rsidRPr="008A50EF" w:rsidRDefault="00321939" w:rsidP="00321939">
      <w:pPr>
        <w:rPr>
          <w:rFonts w:cstheme="minorHAnsi"/>
          <w:b/>
          <w:bCs/>
          <w:sz w:val="22"/>
          <w:szCs w:val="22"/>
        </w:rPr>
      </w:pPr>
      <w:r w:rsidRPr="008A50EF">
        <w:rPr>
          <w:rFonts w:cstheme="minorHAnsi"/>
          <w:b/>
          <w:bCs/>
          <w:sz w:val="22"/>
          <w:szCs w:val="22"/>
        </w:rPr>
        <w:t>Comment la société civile et les personnes ayant une expérience vécue des MNT peuvent-elles s’impliquer en amont du dialogue ?</w:t>
      </w:r>
    </w:p>
    <w:p w14:paraId="1A32377F" w14:textId="77777777" w:rsidR="00321939" w:rsidRPr="008A50EF" w:rsidRDefault="00321939" w:rsidP="00321939">
      <w:pPr>
        <w:rPr>
          <w:rFonts w:cstheme="minorHAnsi"/>
          <w:sz w:val="22"/>
          <w:szCs w:val="22"/>
        </w:rPr>
      </w:pPr>
    </w:p>
    <w:p w14:paraId="1387CCDF" w14:textId="77777777" w:rsidR="00321939" w:rsidRPr="008A50EF" w:rsidRDefault="00321939" w:rsidP="00321939">
      <w:pPr>
        <w:rPr>
          <w:rFonts w:cstheme="minorHAnsi"/>
          <w:sz w:val="22"/>
          <w:szCs w:val="22"/>
        </w:rPr>
      </w:pPr>
      <w:r w:rsidRPr="008A50EF">
        <w:rPr>
          <w:rFonts w:cstheme="minorHAnsi"/>
          <w:sz w:val="22"/>
          <w:szCs w:val="22"/>
        </w:rPr>
        <w:t>L’ordre du jour du Dialogue comporte des sections consacrées aux personnes ayant une expérience vécue des MNT, notamment une table ronde organisée par l’OMS. Bien que la réunion soit réservée aux invités et qu’il n’y ait pas de possibilité de participation virtuelle pour les gouvernements, la société civile ou les personnes ayant une expérience vécue, il existe néanmoins des moyens concrets de s’impliquer en amont :</w:t>
      </w:r>
    </w:p>
    <w:p w14:paraId="5BCB304C" w14:textId="77777777" w:rsidR="00321939" w:rsidRPr="008A50EF" w:rsidRDefault="00321939" w:rsidP="00321939">
      <w:pPr>
        <w:rPr>
          <w:rFonts w:cstheme="minorHAnsi"/>
          <w:sz w:val="22"/>
          <w:szCs w:val="22"/>
        </w:rPr>
      </w:pPr>
    </w:p>
    <w:p w14:paraId="1D08B0AC" w14:textId="77777777" w:rsidR="00321939" w:rsidRPr="008A50EF" w:rsidRDefault="00321939" w:rsidP="00321939">
      <w:pPr>
        <w:pStyle w:val="Prrafodelista"/>
        <w:numPr>
          <w:ilvl w:val="0"/>
          <w:numId w:val="5"/>
        </w:numPr>
        <w:rPr>
          <w:rFonts w:cstheme="minorHAnsi"/>
          <w:sz w:val="22"/>
          <w:szCs w:val="22"/>
        </w:rPr>
      </w:pPr>
      <w:r w:rsidRPr="008A50EF">
        <w:rPr>
          <w:rFonts w:cstheme="minorHAnsi"/>
          <w:sz w:val="22"/>
          <w:szCs w:val="22"/>
        </w:rPr>
        <w:t xml:space="preserve">Participez à la Semaine d’action mondiale sur les MNT. Cette année, la Semaine d’action mondiale coïncide avec le troisième Dialogue international sur le financement durable des MNT et de la santé mentale. Consultez notre ressource « </w:t>
      </w:r>
      <w:hyperlink r:id="rId6" w:history="1">
        <w:r w:rsidRPr="008A50EF">
          <w:rPr>
            <w:rStyle w:val="Hipervnculo"/>
            <w:rFonts w:cstheme="minorHAnsi"/>
            <w:sz w:val="22"/>
            <w:szCs w:val="22"/>
          </w:rPr>
          <w:t>Que pouvez-vous faire en tant que société civile</w:t>
        </w:r>
      </w:hyperlink>
      <w:r w:rsidRPr="008A50EF">
        <w:rPr>
          <w:rFonts w:cstheme="minorHAnsi"/>
          <w:sz w:val="22"/>
          <w:szCs w:val="22"/>
        </w:rPr>
        <w:t xml:space="preserve"> ? » pour savoir comment agir avant le Dialogue.</w:t>
      </w:r>
    </w:p>
    <w:p w14:paraId="716E80E3" w14:textId="77777777" w:rsidR="00321939" w:rsidRPr="008A50EF" w:rsidRDefault="00321939" w:rsidP="00321939">
      <w:pPr>
        <w:rPr>
          <w:rFonts w:cstheme="minorHAnsi"/>
          <w:sz w:val="22"/>
          <w:szCs w:val="22"/>
        </w:rPr>
      </w:pPr>
    </w:p>
    <w:p w14:paraId="4D0107E6" w14:textId="59B6B71F" w:rsidR="008A50EF" w:rsidRPr="004D5AD0" w:rsidRDefault="00321939" w:rsidP="004D5AD0">
      <w:pPr>
        <w:pStyle w:val="Prrafodelista"/>
        <w:numPr>
          <w:ilvl w:val="0"/>
          <w:numId w:val="5"/>
        </w:numPr>
        <w:rPr>
          <w:rFonts w:cstheme="minorHAnsi"/>
          <w:sz w:val="22"/>
          <w:szCs w:val="22"/>
        </w:rPr>
      </w:pPr>
      <w:r w:rsidRPr="008A50EF">
        <w:rPr>
          <w:rFonts w:cstheme="minorHAnsi"/>
          <w:sz w:val="22"/>
          <w:szCs w:val="22"/>
        </w:rPr>
        <w:t xml:space="preserve">Utilisez les supports de plaidoyer et destinés aux réseaux sociaux disponibles sur </w:t>
      </w:r>
      <w:hyperlink r:id="rId7" w:history="1">
        <w:r w:rsidRPr="008A50EF">
          <w:rPr>
            <w:rStyle w:val="Hipervnculo"/>
            <w:rFonts w:cstheme="minorHAnsi"/>
            <w:sz w:val="22"/>
            <w:szCs w:val="22"/>
          </w:rPr>
          <w:t>ActOnNCDs.org</w:t>
        </w:r>
      </w:hyperlink>
      <w:r w:rsidRPr="008A50EF">
        <w:rPr>
          <w:rFonts w:cstheme="minorHAnsi"/>
          <w:sz w:val="22"/>
          <w:szCs w:val="22"/>
        </w:rPr>
        <w:t xml:space="preserve"> pour partager votre point de vue en tant de personne ayant vécu ces expériences sur le financement des MNT, gagner en visibilité et renforcer votre action de plaidoyer.</w:t>
      </w:r>
    </w:p>
    <w:sectPr w:rsidR="008A50EF" w:rsidRPr="004D5AD0" w:rsidSect="009204FC">
      <w:pgSz w:w="11900" w:h="16840"/>
      <w:pgMar w:top="1417" w:right="1701" w:bottom="1417" w:left="1701"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E2F2B"/>
    <w:multiLevelType w:val="hybridMultilevel"/>
    <w:tmpl w:val="7BE2EBB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D3221F6"/>
    <w:multiLevelType w:val="hybridMultilevel"/>
    <w:tmpl w:val="482873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7B90612"/>
    <w:multiLevelType w:val="hybridMultilevel"/>
    <w:tmpl w:val="E1F8674A"/>
    <w:lvl w:ilvl="0" w:tplc="EBD2543C">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1EE699F"/>
    <w:multiLevelType w:val="hybridMultilevel"/>
    <w:tmpl w:val="39E2DDDE"/>
    <w:lvl w:ilvl="0" w:tplc="EBD2543C">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1924DBA"/>
    <w:multiLevelType w:val="hybridMultilevel"/>
    <w:tmpl w:val="3BDA9CB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31130292">
    <w:abstractNumId w:val="0"/>
  </w:num>
  <w:num w:numId="2" w16cid:durableId="648171671">
    <w:abstractNumId w:val="4"/>
  </w:num>
  <w:num w:numId="3" w16cid:durableId="780607844">
    <w:abstractNumId w:val="1"/>
  </w:num>
  <w:num w:numId="4" w16cid:durableId="2025470145">
    <w:abstractNumId w:val="2"/>
  </w:num>
  <w:num w:numId="5" w16cid:durableId="151841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0D"/>
    <w:rsid w:val="000169A5"/>
    <w:rsid w:val="000801DE"/>
    <w:rsid w:val="001950F3"/>
    <w:rsid w:val="001A406E"/>
    <w:rsid w:val="00321939"/>
    <w:rsid w:val="00443C67"/>
    <w:rsid w:val="00463CE9"/>
    <w:rsid w:val="004D5AD0"/>
    <w:rsid w:val="00510446"/>
    <w:rsid w:val="00812C0D"/>
    <w:rsid w:val="008A50EF"/>
    <w:rsid w:val="009060A9"/>
    <w:rsid w:val="009204FC"/>
    <w:rsid w:val="00A505E6"/>
    <w:rsid w:val="00CB6AD8"/>
    <w:rsid w:val="00EE0CF9"/>
    <w:rsid w:val="00FC240D"/>
    <w:rsid w:val="00FD23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AF1D"/>
  <w15:chartTrackingRefBased/>
  <w15:docId w15:val="{0493CC99-97A2-BE45-A9EC-2F402D70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tulo1">
    <w:name w:val="heading 1"/>
    <w:basedOn w:val="Normal"/>
    <w:next w:val="Normal"/>
    <w:link w:val="Ttulo1Car"/>
    <w:uiPriority w:val="9"/>
    <w:qFormat/>
    <w:rsid w:val="00812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12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12C0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12C0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12C0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12C0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2C0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2C0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2C0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2C0D"/>
    <w:rPr>
      <w:rFonts w:asciiTheme="majorHAnsi" w:eastAsiaTheme="majorEastAsia" w:hAnsiTheme="majorHAnsi" w:cstheme="majorBidi"/>
      <w:color w:val="2F5496" w:themeColor="accent1" w:themeShade="BF"/>
      <w:sz w:val="40"/>
      <w:szCs w:val="40"/>
      <w:lang w:val="fr-FR"/>
    </w:rPr>
  </w:style>
  <w:style w:type="character" w:customStyle="1" w:styleId="Ttulo2Car">
    <w:name w:val="Título 2 Car"/>
    <w:basedOn w:val="Fuentedeprrafopredeter"/>
    <w:link w:val="Ttulo2"/>
    <w:uiPriority w:val="9"/>
    <w:semiHidden/>
    <w:rsid w:val="00812C0D"/>
    <w:rPr>
      <w:rFonts w:asciiTheme="majorHAnsi" w:eastAsiaTheme="majorEastAsia" w:hAnsiTheme="majorHAnsi" w:cstheme="majorBidi"/>
      <w:color w:val="2F5496" w:themeColor="accent1" w:themeShade="BF"/>
      <w:sz w:val="32"/>
      <w:szCs w:val="32"/>
      <w:lang w:val="fr-FR"/>
    </w:rPr>
  </w:style>
  <w:style w:type="character" w:customStyle="1" w:styleId="Ttulo3Car">
    <w:name w:val="Título 3 Car"/>
    <w:basedOn w:val="Fuentedeprrafopredeter"/>
    <w:link w:val="Ttulo3"/>
    <w:uiPriority w:val="9"/>
    <w:semiHidden/>
    <w:rsid w:val="00812C0D"/>
    <w:rPr>
      <w:rFonts w:eastAsiaTheme="majorEastAsia" w:cstheme="majorBidi"/>
      <w:color w:val="2F5496" w:themeColor="accent1" w:themeShade="BF"/>
      <w:sz w:val="28"/>
      <w:szCs w:val="28"/>
      <w:lang w:val="fr-FR"/>
    </w:rPr>
  </w:style>
  <w:style w:type="character" w:customStyle="1" w:styleId="Ttulo4Car">
    <w:name w:val="Título 4 Car"/>
    <w:basedOn w:val="Fuentedeprrafopredeter"/>
    <w:link w:val="Ttulo4"/>
    <w:uiPriority w:val="9"/>
    <w:semiHidden/>
    <w:rsid w:val="00812C0D"/>
    <w:rPr>
      <w:rFonts w:eastAsiaTheme="majorEastAsia" w:cstheme="majorBidi"/>
      <w:i/>
      <w:iCs/>
      <w:color w:val="2F5496" w:themeColor="accent1" w:themeShade="BF"/>
      <w:lang w:val="fr-FR"/>
    </w:rPr>
  </w:style>
  <w:style w:type="character" w:customStyle="1" w:styleId="Ttulo5Car">
    <w:name w:val="Título 5 Car"/>
    <w:basedOn w:val="Fuentedeprrafopredeter"/>
    <w:link w:val="Ttulo5"/>
    <w:uiPriority w:val="9"/>
    <w:semiHidden/>
    <w:rsid w:val="00812C0D"/>
    <w:rPr>
      <w:rFonts w:eastAsiaTheme="majorEastAsia" w:cstheme="majorBidi"/>
      <w:color w:val="2F5496" w:themeColor="accent1" w:themeShade="BF"/>
      <w:lang w:val="fr-FR"/>
    </w:rPr>
  </w:style>
  <w:style w:type="character" w:customStyle="1" w:styleId="Ttulo6Car">
    <w:name w:val="Título 6 Car"/>
    <w:basedOn w:val="Fuentedeprrafopredeter"/>
    <w:link w:val="Ttulo6"/>
    <w:uiPriority w:val="9"/>
    <w:semiHidden/>
    <w:rsid w:val="00812C0D"/>
    <w:rPr>
      <w:rFonts w:eastAsiaTheme="majorEastAsia" w:cstheme="majorBidi"/>
      <w:i/>
      <w:iCs/>
      <w:color w:val="595959" w:themeColor="text1" w:themeTint="A6"/>
      <w:lang w:val="fr-FR"/>
    </w:rPr>
  </w:style>
  <w:style w:type="character" w:customStyle="1" w:styleId="Ttulo7Car">
    <w:name w:val="Título 7 Car"/>
    <w:basedOn w:val="Fuentedeprrafopredeter"/>
    <w:link w:val="Ttulo7"/>
    <w:uiPriority w:val="9"/>
    <w:semiHidden/>
    <w:rsid w:val="00812C0D"/>
    <w:rPr>
      <w:rFonts w:eastAsiaTheme="majorEastAsia" w:cstheme="majorBidi"/>
      <w:color w:val="595959" w:themeColor="text1" w:themeTint="A6"/>
      <w:lang w:val="fr-FR"/>
    </w:rPr>
  </w:style>
  <w:style w:type="character" w:customStyle="1" w:styleId="Ttulo8Car">
    <w:name w:val="Título 8 Car"/>
    <w:basedOn w:val="Fuentedeprrafopredeter"/>
    <w:link w:val="Ttulo8"/>
    <w:uiPriority w:val="9"/>
    <w:semiHidden/>
    <w:rsid w:val="00812C0D"/>
    <w:rPr>
      <w:rFonts w:eastAsiaTheme="majorEastAsia" w:cstheme="majorBidi"/>
      <w:i/>
      <w:iCs/>
      <w:color w:val="272727" w:themeColor="text1" w:themeTint="D8"/>
      <w:lang w:val="fr-FR"/>
    </w:rPr>
  </w:style>
  <w:style w:type="character" w:customStyle="1" w:styleId="Ttulo9Car">
    <w:name w:val="Título 9 Car"/>
    <w:basedOn w:val="Fuentedeprrafopredeter"/>
    <w:link w:val="Ttulo9"/>
    <w:uiPriority w:val="9"/>
    <w:semiHidden/>
    <w:rsid w:val="00812C0D"/>
    <w:rPr>
      <w:rFonts w:eastAsiaTheme="majorEastAsia" w:cstheme="majorBidi"/>
      <w:color w:val="272727" w:themeColor="text1" w:themeTint="D8"/>
      <w:lang w:val="fr-FR"/>
    </w:rPr>
  </w:style>
  <w:style w:type="paragraph" w:styleId="Ttulo">
    <w:name w:val="Title"/>
    <w:basedOn w:val="Normal"/>
    <w:next w:val="Normal"/>
    <w:link w:val="TtuloCar"/>
    <w:uiPriority w:val="10"/>
    <w:qFormat/>
    <w:rsid w:val="00812C0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2C0D"/>
    <w:rPr>
      <w:rFonts w:asciiTheme="majorHAnsi" w:eastAsiaTheme="majorEastAsia" w:hAnsiTheme="majorHAnsi" w:cstheme="majorBidi"/>
      <w:spacing w:val="-10"/>
      <w:kern w:val="28"/>
      <w:sz w:val="56"/>
      <w:szCs w:val="56"/>
      <w:lang w:val="fr-FR"/>
    </w:rPr>
  </w:style>
  <w:style w:type="paragraph" w:styleId="Subttulo">
    <w:name w:val="Subtitle"/>
    <w:basedOn w:val="Normal"/>
    <w:next w:val="Normal"/>
    <w:link w:val="SubttuloCar"/>
    <w:uiPriority w:val="11"/>
    <w:qFormat/>
    <w:rsid w:val="00812C0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2C0D"/>
    <w:rPr>
      <w:rFonts w:eastAsiaTheme="majorEastAsia" w:cstheme="majorBidi"/>
      <w:color w:val="595959" w:themeColor="text1" w:themeTint="A6"/>
      <w:spacing w:val="15"/>
      <w:sz w:val="28"/>
      <w:szCs w:val="28"/>
      <w:lang w:val="fr-FR"/>
    </w:rPr>
  </w:style>
  <w:style w:type="paragraph" w:styleId="Cita">
    <w:name w:val="Quote"/>
    <w:basedOn w:val="Normal"/>
    <w:next w:val="Normal"/>
    <w:link w:val="CitaCar"/>
    <w:uiPriority w:val="29"/>
    <w:qFormat/>
    <w:rsid w:val="00812C0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12C0D"/>
    <w:rPr>
      <w:i/>
      <w:iCs/>
      <w:color w:val="404040" w:themeColor="text1" w:themeTint="BF"/>
      <w:lang w:val="fr-FR"/>
    </w:rPr>
  </w:style>
  <w:style w:type="paragraph" w:styleId="Prrafodelista">
    <w:name w:val="List Paragraph"/>
    <w:basedOn w:val="Normal"/>
    <w:uiPriority w:val="34"/>
    <w:qFormat/>
    <w:rsid w:val="00812C0D"/>
    <w:pPr>
      <w:ind w:left="720"/>
      <w:contextualSpacing/>
    </w:pPr>
  </w:style>
  <w:style w:type="character" w:styleId="nfasisintenso">
    <w:name w:val="Intense Emphasis"/>
    <w:basedOn w:val="Fuentedeprrafopredeter"/>
    <w:uiPriority w:val="21"/>
    <w:qFormat/>
    <w:rsid w:val="00812C0D"/>
    <w:rPr>
      <w:i/>
      <w:iCs/>
      <w:color w:val="2F5496" w:themeColor="accent1" w:themeShade="BF"/>
    </w:rPr>
  </w:style>
  <w:style w:type="paragraph" w:styleId="Citadestacada">
    <w:name w:val="Intense Quote"/>
    <w:basedOn w:val="Normal"/>
    <w:next w:val="Normal"/>
    <w:link w:val="CitadestacadaCar"/>
    <w:uiPriority w:val="30"/>
    <w:qFormat/>
    <w:rsid w:val="00812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12C0D"/>
    <w:rPr>
      <w:i/>
      <w:iCs/>
      <w:color w:val="2F5496" w:themeColor="accent1" w:themeShade="BF"/>
      <w:lang w:val="fr-FR"/>
    </w:rPr>
  </w:style>
  <w:style w:type="character" w:styleId="Referenciaintensa">
    <w:name w:val="Intense Reference"/>
    <w:basedOn w:val="Fuentedeprrafopredeter"/>
    <w:uiPriority w:val="32"/>
    <w:qFormat/>
    <w:rsid w:val="00812C0D"/>
    <w:rPr>
      <w:b/>
      <w:bCs/>
      <w:smallCaps/>
      <w:color w:val="2F5496" w:themeColor="accent1" w:themeShade="BF"/>
      <w:spacing w:val="5"/>
    </w:rPr>
  </w:style>
  <w:style w:type="character" w:styleId="Hipervnculo">
    <w:name w:val="Hyperlink"/>
    <w:basedOn w:val="Fuentedeprrafopredeter"/>
    <w:uiPriority w:val="99"/>
    <w:unhideWhenUsed/>
    <w:rsid w:val="00321939"/>
    <w:rPr>
      <w:color w:val="0563C1" w:themeColor="hyperlink"/>
      <w:u w:val="single"/>
    </w:rPr>
  </w:style>
  <w:style w:type="character" w:styleId="Mencinsinresolver">
    <w:name w:val="Unresolved Mention"/>
    <w:basedOn w:val="Fuentedeprrafopredeter"/>
    <w:uiPriority w:val="99"/>
    <w:semiHidden/>
    <w:unhideWhenUsed/>
    <w:rsid w:val="00321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232505">
      <w:bodyDiv w:val="1"/>
      <w:marLeft w:val="0"/>
      <w:marRight w:val="0"/>
      <w:marTop w:val="0"/>
      <w:marBottom w:val="0"/>
      <w:divBdr>
        <w:top w:val="none" w:sz="0" w:space="0" w:color="auto"/>
        <w:left w:val="none" w:sz="0" w:space="0" w:color="auto"/>
        <w:bottom w:val="none" w:sz="0" w:space="0" w:color="auto"/>
        <w:right w:val="none" w:sz="0" w:space="0" w:color="auto"/>
      </w:divBdr>
      <w:divsChild>
        <w:div w:id="713887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463701">
      <w:bodyDiv w:val="1"/>
      <w:marLeft w:val="0"/>
      <w:marRight w:val="0"/>
      <w:marTop w:val="0"/>
      <w:marBottom w:val="0"/>
      <w:divBdr>
        <w:top w:val="none" w:sz="0" w:space="0" w:color="auto"/>
        <w:left w:val="none" w:sz="0" w:space="0" w:color="auto"/>
        <w:bottom w:val="none" w:sz="0" w:space="0" w:color="auto"/>
        <w:right w:val="none" w:sz="0" w:space="0" w:color="auto"/>
      </w:divBdr>
      <w:divsChild>
        <w:div w:id="2093309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tonnc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tonncds.org/resources/2026/global-week-action-2026-what-can-you-do-civil-society" TargetMode="External"/><Relationship Id="rId5" Type="http://schemas.openxmlformats.org/officeDocument/2006/relationships/hyperlink" Target="https://actonncds.org/fr/ressources/2026/modele-de-lettre-troisieme-dialogue-international-sur-le-financement-durable-pou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1404</Words>
  <Characters>7725</Characters>
  <Application>Microsoft Office Word</Application>
  <DocSecurity>0</DocSecurity>
  <Lines>64</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Beltrán</dc:creator>
  <cp:keywords/>
  <dc:description/>
  <cp:lastModifiedBy>Beltrán</cp:lastModifiedBy>
  <cp:revision>3</cp:revision>
  <dcterms:created xsi:type="dcterms:W3CDTF">2026-08-11T10:50:00Z</dcterms:created>
  <dcterms:modified xsi:type="dcterms:W3CDTF">2026-08-12T12:03:00Z</dcterms:modified>
</cp:coreProperties>
</file>