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C78B6A" w14:textId="3C4FE1D3" w:rsidR="005D6CDB" w:rsidRPr="00487880" w:rsidRDefault="1CE4DB47" w:rsidP="00CD4186">
      <w:pPr>
        <w:spacing w:before="100" w:beforeAutospacing="1" w:after="100" w:afterAutospacing="1"/>
        <w:ind w:firstLine="720"/>
        <w:jc w:val="center"/>
        <w:rPr>
          <w:rFonts w:eastAsia="Times New Roman" w:cs="Calibri"/>
          <w:szCs w:val="22"/>
          <w:u w:val="single"/>
          <w:lang w:val="es-ES" w:eastAsia="en-GB"/>
        </w:rPr>
      </w:pPr>
      <w:r w:rsidRPr="00487880">
        <w:rPr>
          <w:rFonts w:eastAsia="Times New Roman" w:cs="Calibri"/>
          <w:kern w:val="0"/>
          <w:szCs w:val="22"/>
          <w:u w:val="single"/>
          <w:lang w:val="es-ES" w:eastAsia="en-GB"/>
          <w14:ligatures w14:val="none"/>
        </w:rPr>
        <w:t>EMBARGADO HASTA LAS 00:01 CEST DEL 31 DE AGOSTO DE 2026</w:t>
      </w:r>
    </w:p>
    <w:p w14:paraId="6577712F" w14:textId="1962AB5A" w:rsidR="005D6CDB" w:rsidRPr="000E4BA3" w:rsidRDefault="000E4BA3" w:rsidP="07EF6CA6">
      <w:pPr>
        <w:spacing w:before="240" w:after="240"/>
        <w:jc w:val="center"/>
        <w:rPr>
          <w:color w:val="EE0000"/>
          <w:sz w:val="32"/>
          <w:szCs w:val="32"/>
          <w:lang w:val="es-ES"/>
        </w:rPr>
      </w:pPr>
      <w:r w:rsidRPr="000E4BA3">
        <w:rPr>
          <w:rFonts w:eastAsia="Calibri" w:cs="Calibri"/>
          <w:b/>
          <w:bCs/>
          <w:color w:val="EE0000"/>
          <w:sz w:val="32"/>
          <w:szCs w:val="32"/>
          <w:highlight w:val="yellow"/>
          <w:lang w:val="es-ES"/>
        </w:rPr>
        <w:t xml:space="preserve">PLANTILLA DE </w:t>
      </w:r>
      <w:r w:rsidR="6AD209EB" w:rsidRPr="000E4BA3">
        <w:rPr>
          <w:rFonts w:eastAsia="Calibri" w:cs="Calibri"/>
          <w:b/>
          <w:bCs/>
          <w:color w:val="EE0000"/>
          <w:sz w:val="32"/>
          <w:szCs w:val="32"/>
          <w:highlight w:val="yellow"/>
          <w:lang w:val="es-ES"/>
        </w:rPr>
        <w:t>COMUNICADO DE PRENSA</w:t>
      </w:r>
    </w:p>
    <w:p w14:paraId="1859EE05" w14:textId="2B56AF0B" w:rsidR="00232042" w:rsidRPr="00487880" w:rsidRDefault="00232042" w:rsidP="00232042">
      <w:pPr>
        <w:tabs>
          <w:tab w:val="left" w:pos="142"/>
        </w:tabs>
        <w:spacing w:after="240"/>
        <w:rPr>
          <w:b/>
          <w:bCs/>
          <w:sz w:val="32"/>
          <w:szCs w:val="32"/>
          <w:lang w:val="es-ES"/>
        </w:rPr>
      </w:pPr>
      <w:r w:rsidRPr="00487880">
        <w:rPr>
          <w:b/>
          <w:bCs/>
          <w:sz w:val="32"/>
          <w:szCs w:val="32"/>
          <w:lang w:val="es-ES"/>
        </w:rPr>
        <w:t xml:space="preserve">La Semana Mundial de Acción sobre las ENT pide financiación sostenible para convertir </w:t>
      </w:r>
      <w:r w:rsidR="00487880">
        <w:rPr>
          <w:b/>
          <w:bCs/>
          <w:sz w:val="32"/>
          <w:szCs w:val="32"/>
          <w:lang w:val="es-ES"/>
        </w:rPr>
        <w:t xml:space="preserve">los </w:t>
      </w:r>
      <w:r w:rsidRPr="00487880">
        <w:rPr>
          <w:b/>
          <w:bCs/>
          <w:sz w:val="32"/>
          <w:szCs w:val="32"/>
          <w:lang w:val="es-ES"/>
        </w:rPr>
        <w:t>compromisos en resultados</w:t>
      </w:r>
    </w:p>
    <w:p w14:paraId="08C673B0" w14:textId="77777777" w:rsidR="00232042" w:rsidRPr="00487880" w:rsidRDefault="00232042" w:rsidP="60F93417">
      <w:pPr>
        <w:spacing w:before="240" w:after="240"/>
        <w:rPr>
          <w:rFonts w:eastAsia="Calibri" w:cs="Calibri"/>
          <w:b/>
          <w:bCs/>
          <w:color w:val="000000" w:themeColor="text1"/>
          <w:sz w:val="24"/>
          <w:lang w:val="es-ES"/>
        </w:rPr>
      </w:pPr>
      <w:r w:rsidRPr="00487880">
        <w:rPr>
          <w:rFonts w:eastAsia="Calibri" w:cs="Calibri"/>
          <w:b/>
          <w:bCs/>
          <w:color w:val="000000" w:themeColor="text1"/>
          <w:sz w:val="24"/>
          <w:lang w:val="es-ES"/>
        </w:rPr>
        <w:t>La campaña insta a los gobiernos a invertir en acceso equitativo, protección financiera e implementación responsable</w:t>
      </w:r>
    </w:p>
    <w:p w14:paraId="3CFEDA29" w14:textId="345B396D" w:rsidR="005D6CDB" w:rsidRPr="00AD23FA" w:rsidRDefault="000E4BA3" w:rsidP="60F93417">
      <w:pPr>
        <w:spacing w:before="240" w:after="240"/>
        <w:rPr>
          <w:rFonts w:eastAsia="Calibri" w:cs="Calibri"/>
          <w:color w:val="000000" w:themeColor="text1"/>
          <w:szCs w:val="22"/>
          <w:lang w:val="es-ES"/>
        </w:rPr>
      </w:pPr>
      <w:proofErr w:type="spellStart"/>
      <w:r>
        <w:rPr>
          <w:rFonts w:eastAsia="Calibri" w:cs="Calibri"/>
          <w:b/>
          <w:bCs/>
          <w:color w:val="000000" w:themeColor="text1"/>
          <w:szCs w:val="22"/>
          <w:lang w:val="es-ES"/>
        </w:rPr>
        <w:t>Lune</w:t>
      </w:r>
      <w:proofErr w:type="spellEnd"/>
      <w:r>
        <w:rPr>
          <w:rFonts w:eastAsia="Calibri" w:cs="Calibri"/>
          <w:b/>
          <w:bCs/>
          <w:color w:val="000000" w:themeColor="text1"/>
          <w:szCs w:val="22"/>
          <w:lang w:val="es-ES"/>
        </w:rPr>
        <w:t>,</w:t>
      </w:r>
      <w:r w:rsidR="7D1C8FDC" w:rsidRPr="00AD23FA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31 de agosto de 2026</w:t>
      </w:r>
      <w:r w:rsidR="7D1C8FDC" w:rsidRPr="00AD23FA">
        <w:rPr>
          <w:rFonts w:eastAsia="Calibri" w:cs="Calibri"/>
          <w:bCs/>
          <w:color w:val="000000" w:themeColor="text1"/>
          <w:szCs w:val="22"/>
          <w:lang w:val="es-ES"/>
        </w:rPr>
        <w:t>,</w:t>
      </w:r>
      <w:r w:rsidRPr="000E4BA3">
        <w:rPr>
          <w:rStyle w:val="Heading1Char"/>
          <w:rFonts w:ascii="Calibri" w:hAnsi="Calibri" w:cs="Calibri"/>
          <w:b/>
          <w:bCs/>
          <w:color w:val="EE0000"/>
          <w:sz w:val="22"/>
          <w:szCs w:val="22"/>
          <w:shd w:val="clear" w:color="auto" w:fill="FFFF00"/>
          <w:lang w:val="es-ES"/>
        </w:rPr>
        <w:t xml:space="preserve"> </w:t>
      </w:r>
      <w:r w:rsidRPr="000E4BA3">
        <w:rPr>
          <w:rStyle w:val="normaltextrun"/>
          <w:rFonts w:cs="Calibri"/>
          <w:b/>
          <w:bCs/>
          <w:color w:val="EE0000"/>
          <w:szCs w:val="22"/>
          <w:shd w:val="clear" w:color="auto" w:fill="FFFF00"/>
          <w:lang w:val="es-ES"/>
        </w:rPr>
        <w:t>[incluir nombre de su ciudad]</w:t>
      </w:r>
      <w:r w:rsidR="7D1C8FDC" w:rsidRPr="00AD23FA">
        <w:rPr>
          <w:rFonts w:eastAsia="Calibri" w:cs="Calibri"/>
          <w:bCs/>
          <w:color w:val="000000" w:themeColor="text1"/>
          <w:szCs w:val="22"/>
          <w:lang w:val="es-ES"/>
        </w:rPr>
        <w:t xml:space="preserve"> La Semana Mundial de Acción sobre las ENT comienza hoy y reúne a la comunidad mundial de enfermedades no transmisibles (ENT) bajo el lema </w:t>
      </w:r>
      <w:r w:rsidR="7D1C8FDC" w:rsidRPr="00AD23FA">
        <w:rPr>
          <w:rFonts w:eastAsia="Calibri" w:cs="Calibri"/>
          <w:b/>
          <w:bCs/>
          <w:color w:val="000000" w:themeColor="text1"/>
          <w:szCs w:val="22"/>
          <w:lang w:val="es-ES"/>
        </w:rPr>
        <w:t>Liderazgo a examen: de los compromisos a la acción</w:t>
      </w:r>
      <w:r w:rsidR="7D1C8FDC" w:rsidRPr="00AD23FA">
        <w:rPr>
          <w:rFonts w:eastAsia="Calibri" w:cs="Calibri"/>
          <w:bCs/>
          <w:color w:val="000000" w:themeColor="text1"/>
          <w:szCs w:val="22"/>
          <w:lang w:val="es-ES"/>
        </w:rPr>
        <w:t>. A lo largo de la semana, organizaciones de la sociedad civil, personas que viven con ENT, profesionales de la salud y socios de todo el mundo pedirán a los gobiernos que conviertan los compromisos políticos en financiación sostenible, acceso equitativo a la atención y avances cuantificables en la vida de las personas.</w:t>
      </w:r>
    </w:p>
    <w:p w14:paraId="46418D6A" w14:textId="2048930F" w:rsidR="005D6CDB" w:rsidRPr="00AD23FA" w:rsidRDefault="7D1C8FDC" w:rsidP="60F93417">
      <w:pPr>
        <w:spacing w:before="240" w:after="240"/>
        <w:rPr>
          <w:rFonts w:eastAsia="Calibri" w:cs="Calibri"/>
          <w:color w:val="000000" w:themeColor="text1"/>
          <w:szCs w:val="22"/>
          <w:lang w:val="es-ES"/>
        </w:rPr>
      </w:pPr>
      <w:r w:rsidRPr="00AD23FA">
        <w:rPr>
          <w:rFonts w:eastAsia="Calibri" w:cs="Calibri"/>
          <w:color w:val="000000" w:themeColor="text1"/>
          <w:szCs w:val="22"/>
          <w:lang w:val="es-ES"/>
        </w:rPr>
        <w:t>«El liderazgo en la financiación de las ENT significa garantizar que la inversión llegue a las personas. Los compromisos sirven de poco si el lugar donde viven, sus ingresos o quiénes son siguen determinando si se benefician de una prevención eficaz y pueden acceder al tratamiento y la atención esenciales para las ENT», afirmó</w:t>
      </w:r>
      <w:r w:rsidR="000E4BA3" w:rsidRPr="00E127C2">
        <w:rPr>
          <w:rFonts w:eastAsia="Calibri" w:cs="Calibri"/>
          <w:color w:val="EE0000"/>
          <w:szCs w:val="22"/>
          <w:lang w:val="es-ES"/>
        </w:rPr>
        <w:t xml:space="preserve"> </w:t>
      </w:r>
      <w:r w:rsidR="00E127C2" w:rsidRPr="00E127C2">
        <w:rPr>
          <w:rFonts w:eastAsia="Calibri" w:cs="Calibri"/>
          <w:color w:val="EE0000"/>
          <w:szCs w:val="22"/>
          <w:highlight w:val="yellow"/>
          <w:lang w:val="es-ES"/>
        </w:rPr>
        <w:t>XXXXX</w:t>
      </w:r>
      <w:r w:rsidR="00E127C2" w:rsidRPr="00E127C2">
        <w:rPr>
          <w:rFonts w:eastAsia="Calibri" w:cs="Calibri"/>
          <w:color w:val="EE0000"/>
          <w:szCs w:val="22"/>
          <w:lang w:val="es-ES"/>
        </w:rPr>
        <w:t xml:space="preserve"> </w:t>
      </w:r>
      <w:r w:rsidR="000E4BA3">
        <w:rPr>
          <w:rStyle w:val="normaltextrun"/>
          <w:rFonts w:cs="Calibri"/>
          <w:color w:val="FF0000"/>
          <w:szCs w:val="22"/>
          <w:shd w:val="clear" w:color="auto" w:fill="FFFF00"/>
          <w:lang w:val="es-ES"/>
        </w:rPr>
        <w:t>[</w:t>
      </w:r>
      <w:r w:rsidR="000E4BA3">
        <w:rPr>
          <w:rStyle w:val="normaltextrun"/>
          <w:rFonts w:cs="Calibri"/>
          <w:color w:val="FF0000"/>
          <w:szCs w:val="22"/>
          <w:shd w:val="clear" w:color="auto" w:fill="FFFF00"/>
          <w:lang w:val="es-ES"/>
        </w:rPr>
        <w:t xml:space="preserve">adaptar </w:t>
      </w:r>
      <w:r w:rsidR="000E4BA3">
        <w:rPr>
          <w:rStyle w:val="normaltextrun"/>
          <w:rFonts w:cs="Calibri"/>
          <w:color w:val="FF0000"/>
          <w:szCs w:val="22"/>
          <w:shd w:val="clear" w:color="auto" w:fill="FFFF00"/>
          <w:lang w:val="es-ES"/>
        </w:rPr>
        <w:t>cita de la dirección de su organización]</w:t>
      </w:r>
      <w:r w:rsidRPr="00AD23FA">
        <w:rPr>
          <w:rFonts w:eastAsia="Calibri" w:cs="Calibri"/>
          <w:color w:val="000000" w:themeColor="text1"/>
          <w:szCs w:val="22"/>
          <w:lang w:val="es-ES"/>
        </w:rPr>
        <w:t xml:space="preserve">. «El gasto de bolsillo en salud empuja cada año a unos 100 millones de personas a la pobreza extrema. Millones más se ven obligadas a elegir entre pagar un tratamiento y cubrir otras necesidades esenciales del hogar». </w:t>
      </w:r>
    </w:p>
    <w:p w14:paraId="253A34E4" w14:textId="2697677C" w:rsidR="005D6CDB" w:rsidRPr="00AD23FA" w:rsidRDefault="7D1C8FDC" w:rsidP="60F93417">
      <w:pPr>
        <w:spacing w:before="240" w:after="240"/>
        <w:rPr>
          <w:rFonts w:eastAsia="Calibri" w:cs="Calibri"/>
          <w:color w:val="000000" w:themeColor="text1"/>
          <w:szCs w:val="22"/>
          <w:lang w:val="es-ES"/>
        </w:rPr>
      </w:pPr>
      <w:r w:rsidRPr="00AD23FA">
        <w:rPr>
          <w:rFonts w:eastAsia="Calibri" w:cs="Calibri"/>
          <w:color w:val="000000" w:themeColor="text1"/>
          <w:szCs w:val="22"/>
          <w:lang w:val="es-ES"/>
        </w:rPr>
        <w:t xml:space="preserve">Alcanzar las metas acordadas en la </w:t>
      </w:r>
      <w:r w:rsidR="00487880">
        <w:rPr>
          <w:rFonts w:eastAsia="Calibri" w:cs="Calibri"/>
          <w:color w:val="000000" w:themeColor="text1"/>
          <w:szCs w:val="22"/>
          <w:lang w:val="es-ES"/>
        </w:rPr>
        <w:t>Cuarta Reunión de Alto Nivel</w:t>
      </w:r>
      <w:r w:rsidRPr="00AD23FA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r w:rsidR="0050554A">
        <w:rPr>
          <w:rFonts w:eastAsia="Calibri" w:cs="Calibri"/>
          <w:color w:val="000000" w:themeColor="text1"/>
          <w:szCs w:val="22"/>
          <w:lang w:val="es-ES"/>
        </w:rPr>
        <w:t xml:space="preserve">de Naciones Unidas en </w:t>
      </w:r>
      <w:proofErr w:type="gramStart"/>
      <w:r w:rsidR="0050554A">
        <w:rPr>
          <w:rFonts w:eastAsia="Calibri" w:cs="Calibri"/>
          <w:color w:val="000000" w:themeColor="text1"/>
          <w:szCs w:val="22"/>
          <w:lang w:val="es-ES"/>
        </w:rPr>
        <w:t>Septiembre</w:t>
      </w:r>
      <w:proofErr w:type="gramEnd"/>
      <w:r w:rsidR="0050554A">
        <w:rPr>
          <w:rFonts w:eastAsia="Calibri" w:cs="Calibri"/>
          <w:color w:val="000000" w:themeColor="text1"/>
          <w:szCs w:val="22"/>
          <w:lang w:val="es-ES"/>
        </w:rPr>
        <w:t xml:space="preserve"> de 2025, </w:t>
      </w:r>
      <w:r w:rsidRPr="00AD23FA">
        <w:rPr>
          <w:rFonts w:eastAsia="Calibri" w:cs="Calibri"/>
          <w:color w:val="000000" w:themeColor="text1"/>
          <w:szCs w:val="22"/>
          <w:lang w:val="es-ES"/>
        </w:rPr>
        <w:t xml:space="preserve">exige ir más allá de los compromisos políticos y adoptar políticas y reformas concretas que reduzcan la dependencia de los </w:t>
      </w:r>
      <w:r w:rsidR="00487880">
        <w:rPr>
          <w:rFonts w:eastAsia="Calibri" w:cs="Calibri"/>
          <w:color w:val="000000" w:themeColor="text1"/>
          <w:szCs w:val="22"/>
          <w:lang w:val="es-ES"/>
        </w:rPr>
        <w:t>gastos</w:t>
      </w:r>
      <w:r w:rsidRPr="00AD23FA">
        <w:rPr>
          <w:rFonts w:eastAsia="Calibri" w:cs="Calibri"/>
          <w:color w:val="000000" w:themeColor="text1"/>
          <w:szCs w:val="22"/>
          <w:lang w:val="es-ES"/>
        </w:rPr>
        <w:t xml:space="preserve"> de bolsillo y establezcan una financiación nacional sostenible para la prevención, el tratamiento y la atención de las ENT dentro de los sistemas nacionales de salud.</w:t>
      </w:r>
    </w:p>
    <w:p w14:paraId="4852EF38" w14:textId="5E4F6A54" w:rsidR="005D6CDB" w:rsidRPr="00AD23FA" w:rsidRDefault="2A62A1EA" w:rsidP="59363D3E">
      <w:pPr>
        <w:spacing w:before="240" w:beforeAutospacing="1" w:after="240" w:afterAutospacing="1"/>
        <w:rPr>
          <w:szCs w:val="22"/>
          <w:lang w:val="es-ES"/>
        </w:rPr>
      </w:pPr>
      <w:r w:rsidRPr="00AD23FA">
        <w:rPr>
          <w:rFonts w:eastAsia="Calibri" w:cs="Calibri"/>
          <w:color w:val="000000" w:themeColor="text1"/>
          <w:szCs w:val="22"/>
          <w:lang w:val="es-ES"/>
        </w:rPr>
        <w:t xml:space="preserve">Los medicamentos representan más de la mitad del gasto de bolsillo en salud en tres cuartas partes de los países. Investigaciones recientes indican que, si los países adquirieran medicamentos a los precios más bajos observados, las necesidades de gasto podrían reducirse entre un 20 % y un 50 %. En la mayoría de los países de ingresos bajos y </w:t>
      </w:r>
      <w:r w:rsidR="00487880">
        <w:rPr>
          <w:rFonts w:eastAsia="Calibri" w:cs="Calibri"/>
          <w:color w:val="000000" w:themeColor="text1"/>
          <w:szCs w:val="22"/>
          <w:lang w:val="es-ES"/>
        </w:rPr>
        <w:t>medios</w:t>
      </w:r>
      <w:r w:rsidRPr="00AD23FA">
        <w:rPr>
          <w:rFonts w:eastAsia="Calibri" w:cs="Calibri"/>
          <w:color w:val="000000" w:themeColor="text1"/>
          <w:szCs w:val="22"/>
          <w:lang w:val="es-ES"/>
        </w:rPr>
        <w:t>, el acceso a productos de salud esenciales para las ENT sigue siendo insuficiente, lo que aumenta las inequidades sanitarias a escala mundial. Dentro de los países, esta situación se agrava para determinados grupos marginados, incluidas las mujeres, las personas en situación de desventaja económica, las poblaciones rurales y las minorías étnicas, así como las poblaciones afectadas por emergencias humanitarias.</w:t>
      </w:r>
    </w:p>
    <w:p w14:paraId="49C476DB" w14:textId="79904497" w:rsidR="005D6CDB" w:rsidRPr="00AD23FA" w:rsidRDefault="7D1C8FDC" w:rsidP="1D40EE1D">
      <w:pPr>
        <w:spacing w:before="240" w:beforeAutospacing="1" w:after="240" w:afterAutospacing="1"/>
        <w:rPr>
          <w:szCs w:val="22"/>
          <w:lang w:val="es-ES"/>
        </w:rPr>
      </w:pPr>
      <w:r w:rsidRPr="00AD23FA">
        <w:rPr>
          <w:rFonts w:eastAsia="Calibri" w:cs="Calibri"/>
          <w:color w:val="000000" w:themeColor="text1"/>
          <w:szCs w:val="22"/>
          <w:lang w:val="es-ES"/>
        </w:rPr>
        <w:t>A lo largo de la semana, organizaciones y defensores de todo el mundo mostrarán ejemplos de liderazgo en acción y demostrarán cómo la financiación sostenible, unas políticas más sólidas y la participación comunitaria pueden acelerar los avances en materia de ENT.</w:t>
      </w:r>
    </w:p>
    <w:p w14:paraId="1F6C9A39" w14:textId="1F9D822E" w:rsidR="005D6CDB" w:rsidRPr="00AD23FA" w:rsidRDefault="00487880" w:rsidP="59363D3E">
      <w:pPr>
        <w:spacing w:before="240" w:beforeAutospacing="1" w:after="240" w:afterAutospacing="1"/>
        <w:rPr>
          <w:rFonts w:eastAsia="Times New Roman" w:cs="Calibri"/>
          <w:b/>
          <w:bCs/>
          <w:szCs w:val="22"/>
          <w:lang w:val="es-ES" w:eastAsia="en-GB"/>
        </w:rPr>
      </w:pPr>
      <w:r>
        <w:rPr>
          <w:rFonts w:eastAsia="Times New Roman" w:cs="Calibri"/>
          <w:b/>
          <w:bCs/>
          <w:szCs w:val="22"/>
          <w:lang w:val="es-ES" w:eastAsia="en-GB"/>
        </w:rPr>
        <w:t>*</w:t>
      </w:r>
      <w:r w:rsidR="235E45C6" w:rsidRPr="00AD23FA">
        <w:rPr>
          <w:rFonts w:eastAsia="Times New Roman" w:cs="Calibri"/>
          <w:b/>
          <w:bCs/>
          <w:szCs w:val="22"/>
          <w:lang w:val="es-ES" w:eastAsia="en-GB"/>
        </w:rPr>
        <w:t>FIN</w:t>
      </w:r>
      <w:r>
        <w:rPr>
          <w:rFonts w:eastAsia="Times New Roman" w:cs="Calibri"/>
          <w:b/>
          <w:bCs/>
          <w:szCs w:val="22"/>
          <w:lang w:val="es-ES" w:eastAsia="en-GB"/>
        </w:rPr>
        <w:t>*</w:t>
      </w:r>
    </w:p>
    <w:p w14:paraId="0DA85893" w14:textId="77777777" w:rsidR="000E4BA3" w:rsidRDefault="000E4BA3" w:rsidP="000E4BA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E4BA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s-ES"/>
        </w:rPr>
        <w:t>Más información:  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E5AAD43" w14:textId="77777777" w:rsidR="000E4BA3" w:rsidRDefault="000E4BA3" w:rsidP="000E4BA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E4BA3">
        <w:rPr>
          <w:rStyle w:val="normaltextrun"/>
          <w:rFonts w:ascii="Calibri" w:hAnsi="Calibri" w:cs="Calibri"/>
          <w:color w:val="FF0000"/>
          <w:sz w:val="22"/>
          <w:szCs w:val="22"/>
          <w:lang w:val="es-ES"/>
        </w:rPr>
        <w:t>[añadir información de contacto de prensa de su organización] 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782C076E" w14:textId="6BB7C2EC" w:rsidR="005D6CDB" w:rsidRPr="00AD23FA" w:rsidRDefault="6ED1B6D1" w:rsidP="00AD23FA">
      <w:pPr>
        <w:spacing w:before="100" w:beforeAutospacing="1"/>
        <w:rPr>
          <w:sz w:val="20"/>
          <w:szCs w:val="20"/>
          <w:lang w:val="es-ES"/>
        </w:rPr>
      </w:pPr>
      <w:r w:rsidRPr="00AD23FA">
        <w:rPr>
          <w:rFonts w:cs="Calibri"/>
          <w:b/>
          <w:bCs/>
          <w:sz w:val="20"/>
          <w:szCs w:val="20"/>
          <w:lang w:val="es-ES"/>
        </w:rPr>
        <w:t>Notas</w:t>
      </w:r>
    </w:p>
    <w:p w14:paraId="3EA5C106" w14:textId="56F6EF75" w:rsidR="005D6CDB" w:rsidRPr="00AD23FA" w:rsidRDefault="6ED1B6D1" w:rsidP="00AD23FA">
      <w:pPr>
        <w:rPr>
          <w:rFonts w:eastAsia="Calibri" w:cs="Calibri"/>
          <w:color w:val="000000" w:themeColor="text1"/>
          <w:sz w:val="20"/>
          <w:szCs w:val="20"/>
          <w:lang w:val="es-ES"/>
        </w:rPr>
      </w:pP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 xml:space="preserve">La Semana Mundial pide una mayor inversión que se traduzca en sistemas de salud más sólidos, un acceso más amplio a los servicios esenciales y mejores resultados de salud, </w:t>
      </w:r>
      <w:r w:rsidR="00487880">
        <w:rPr>
          <w:rFonts w:eastAsia="Calibri" w:cs="Calibri"/>
          <w:color w:val="000000" w:themeColor="text1"/>
          <w:sz w:val="20"/>
          <w:szCs w:val="20"/>
          <w:lang w:val="es-ES"/>
        </w:rPr>
        <w:t>incluyendo las siguientes</w:t>
      </w: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 xml:space="preserve"> medidas:</w:t>
      </w:r>
    </w:p>
    <w:p w14:paraId="6710C65C" w14:textId="5F4078D2" w:rsidR="005D6CDB" w:rsidRPr="00AD23FA" w:rsidRDefault="6ED1B6D1" w:rsidP="60F93417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Calibri" w:cs="Calibri"/>
          <w:color w:val="000000" w:themeColor="text1"/>
          <w:sz w:val="20"/>
          <w:szCs w:val="20"/>
          <w:lang w:val="es-ES"/>
        </w:rPr>
      </w:pP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>Establecer metas claras de financiación nacional y adoptar referencias presupuestarias explícitas.</w:t>
      </w:r>
    </w:p>
    <w:p w14:paraId="79FE69A0" w14:textId="540D64BB" w:rsidR="005D6CDB" w:rsidRPr="00AD23FA" w:rsidRDefault="6ED1B6D1" w:rsidP="60F93417">
      <w:pPr>
        <w:pStyle w:val="ListParagraph"/>
        <w:numPr>
          <w:ilvl w:val="0"/>
          <w:numId w:val="1"/>
        </w:numPr>
        <w:rPr>
          <w:rFonts w:eastAsia="Calibri" w:cs="Calibri"/>
          <w:color w:val="000000" w:themeColor="text1"/>
          <w:sz w:val="20"/>
          <w:szCs w:val="20"/>
          <w:lang w:val="es-ES"/>
        </w:rPr>
      </w:pP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>Ampliar el espacio fiscal mediante políticas fiscales coherentes que impliquen al conjunto del gobierno.</w:t>
      </w:r>
    </w:p>
    <w:p w14:paraId="44655104" w14:textId="0C959054" w:rsidR="005D6CDB" w:rsidRPr="00AD23FA" w:rsidRDefault="6ED1B6D1" w:rsidP="60F93417">
      <w:pPr>
        <w:pStyle w:val="ListParagraph"/>
        <w:numPr>
          <w:ilvl w:val="0"/>
          <w:numId w:val="1"/>
        </w:numPr>
        <w:rPr>
          <w:rFonts w:eastAsia="Calibri" w:cs="Calibri"/>
          <w:color w:val="000000" w:themeColor="text1"/>
          <w:sz w:val="20"/>
          <w:szCs w:val="20"/>
          <w:lang w:val="es-ES"/>
        </w:rPr>
      </w:pP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lastRenderedPageBreak/>
        <w:t>Utilizar la adquisición estratégica, la regulación de precios y otras políticas de acceso para hacer más asequibles los medicamentos esenciales y los dispositivos médicos, y reforzar la soberanía sanitaria.</w:t>
      </w:r>
    </w:p>
    <w:p w14:paraId="008C89A3" w14:textId="64127422" w:rsidR="005D6CDB" w:rsidRPr="00AD23FA" w:rsidRDefault="6ED1B6D1" w:rsidP="60F93417">
      <w:pPr>
        <w:pStyle w:val="ListParagraph"/>
        <w:numPr>
          <w:ilvl w:val="0"/>
          <w:numId w:val="1"/>
        </w:numPr>
        <w:rPr>
          <w:rFonts w:eastAsia="Calibri" w:cs="Calibri"/>
          <w:color w:val="000000" w:themeColor="text1"/>
          <w:sz w:val="20"/>
          <w:szCs w:val="20"/>
          <w:lang w:val="es-ES"/>
        </w:rPr>
      </w:pP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>Invertir en datos, vigilancia y sistemas de rendición de cuentas para orientar las políticas y hacer seguimiento de los avances.</w:t>
      </w:r>
    </w:p>
    <w:p w14:paraId="21836BC4" w14:textId="0A1BEAA8" w:rsidR="005D6CDB" w:rsidRPr="00AD23FA" w:rsidRDefault="6ED1B6D1" w:rsidP="3C18630C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Calibri" w:cs="Calibri"/>
          <w:color w:val="000000" w:themeColor="text1"/>
          <w:sz w:val="20"/>
          <w:szCs w:val="20"/>
          <w:lang w:val="es-ES"/>
        </w:rPr>
      </w:pP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>Garantizar la participación significativa de las comunidades, incluidas las personas que viven con ENT, en la toma de decisiones y los procesos de seguimiento nacionales.</w:t>
      </w:r>
    </w:p>
    <w:p w14:paraId="0FDD790F" w14:textId="485D129D" w:rsidR="005D6CDB" w:rsidRPr="00AD23FA" w:rsidRDefault="4321F8FA" w:rsidP="60F93417">
      <w:pPr>
        <w:spacing w:before="100" w:beforeAutospacing="1" w:after="100" w:afterAutospacing="1"/>
        <w:rPr>
          <w:rFonts w:eastAsia="Calibri" w:cs="Calibri"/>
          <w:color w:val="000000" w:themeColor="text1"/>
          <w:sz w:val="20"/>
          <w:szCs w:val="20"/>
          <w:lang w:val="es-ES"/>
        </w:rPr>
      </w:pP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 xml:space="preserve">Las historias, los recursos de campaña y las oportunidades para pasar a la acción estarán disponibles en </w:t>
      </w:r>
      <w:r w:rsidRPr="00AD23FA">
        <w:rPr>
          <w:rFonts w:eastAsia="Calibri" w:cs="Calibri"/>
          <w:b/>
          <w:color w:val="000000" w:themeColor="text1"/>
          <w:sz w:val="20"/>
          <w:szCs w:val="20"/>
          <w:lang w:val="es-ES"/>
        </w:rPr>
        <w:t>actonncds.org</w:t>
      </w: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 xml:space="preserve">. Sigue </w:t>
      </w:r>
      <w:r w:rsidRPr="00AD23FA">
        <w:rPr>
          <w:rFonts w:eastAsia="Calibri" w:cs="Calibri"/>
          <w:b/>
          <w:color w:val="000000" w:themeColor="text1"/>
          <w:sz w:val="20"/>
          <w:szCs w:val="20"/>
          <w:lang w:val="es-ES"/>
        </w:rPr>
        <w:t>#ActOnNCDs</w:t>
      </w: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 xml:space="preserve"> y </w:t>
      </w:r>
      <w:r w:rsidRPr="00AD23FA">
        <w:rPr>
          <w:rFonts w:eastAsia="Calibri" w:cs="Calibri"/>
          <w:b/>
          <w:color w:val="000000" w:themeColor="text1"/>
          <w:sz w:val="20"/>
          <w:szCs w:val="20"/>
          <w:lang w:val="es-ES"/>
        </w:rPr>
        <w:t>#LeadOnNCDs</w:t>
      </w: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 xml:space="preserve"> durante toda la semana para conocer las novedades, </w:t>
      </w:r>
      <w:r w:rsidR="00487880">
        <w:rPr>
          <w:rFonts w:eastAsia="Calibri" w:cs="Calibri"/>
          <w:color w:val="000000" w:themeColor="text1"/>
          <w:sz w:val="20"/>
          <w:szCs w:val="20"/>
          <w:lang w:val="es-ES"/>
        </w:rPr>
        <w:t>testimonios</w:t>
      </w:r>
      <w:r w:rsidRPr="00AD23FA">
        <w:rPr>
          <w:rFonts w:eastAsia="Calibri" w:cs="Calibri"/>
          <w:color w:val="000000" w:themeColor="text1"/>
          <w:sz w:val="20"/>
          <w:szCs w:val="20"/>
          <w:lang w:val="es-ES"/>
        </w:rPr>
        <w:t xml:space="preserve"> y entrevistas.</w:t>
      </w:r>
    </w:p>
    <w:p w14:paraId="0B1BD577" w14:textId="19D0B8E9" w:rsidR="005D6CDB" w:rsidRPr="00AD23FA" w:rsidRDefault="0C85A927" w:rsidP="00AD23FA">
      <w:pPr>
        <w:spacing w:before="100" w:beforeAutospacing="1"/>
        <w:rPr>
          <w:sz w:val="20"/>
          <w:szCs w:val="20"/>
          <w:lang w:val="es-ES"/>
        </w:rPr>
      </w:pPr>
      <w:bookmarkStart w:id="0" w:name="_Int_k9tzZU1S"/>
      <w:bookmarkEnd w:id="0"/>
      <w:r w:rsidRPr="00AD23FA">
        <w:rPr>
          <w:rFonts w:cs="Calibri"/>
          <w:b/>
          <w:bCs/>
          <w:sz w:val="20"/>
          <w:szCs w:val="20"/>
          <w:lang w:val="es-ES"/>
        </w:rPr>
        <w:t>¿Qué son las ENT?</w:t>
      </w:r>
    </w:p>
    <w:p w14:paraId="5EE34750" w14:textId="35BC28A9" w:rsidR="005D6CDB" w:rsidRDefault="7B3CCD07" w:rsidP="00487880">
      <w:pPr>
        <w:spacing w:after="100" w:afterAutospacing="1"/>
        <w:rPr>
          <w:rFonts w:eastAsia="Calibri" w:cs="Calibri"/>
          <w:sz w:val="20"/>
          <w:szCs w:val="20"/>
          <w:lang w:val="es-ES"/>
        </w:rPr>
      </w:pPr>
      <w:r w:rsidRPr="00AD23FA">
        <w:rPr>
          <w:rFonts w:eastAsia="Calibri" w:cs="Calibri"/>
          <w:sz w:val="20"/>
          <w:szCs w:val="20"/>
          <w:lang w:val="es-ES"/>
        </w:rPr>
        <w:t xml:space="preserve">Las enfermedades no transmisibles (ENT) son la principal causa de muerte y discapacidad en el mundo. Incluyen una amplia y diversa variedad de afecciones, desde las enfermedades cardiovasculares y la diabetes hasta los trastornos de salud mental, neurológicos y musculoesqueléticos, las enfermedades renales y hepáticas, la salud bucodental y ocular, los trastornos genéticos y muchas otras. Las ENT están impulsadas en gran medida por el mismo pequeño grupo de factores de riesgo, tienen carácter crónico y requieren atención a largo plazo o durante toda la vida, y están profundamente vinculadas con las prioridades mundiales de desarrollo más urgentes, como la pobreza, la </w:t>
      </w:r>
      <w:r w:rsidR="00487880">
        <w:rPr>
          <w:rFonts w:eastAsia="Calibri" w:cs="Calibri"/>
          <w:sz w:val="20"/>
          <w:szCs w:val="20"/>
          <w:lang w:val="es-ES"/>
        </w:rPr>
        <w:t>in</w:t>
      </w:r>
      <w:r w:rsidRPr="00AD23FA">
        <w:rPr>
          <w:rFonts w:eastAsia="Calibri" w:cs="Calibri"/>
          <w:sz w:val="20"/>
          <w:szCs w:val="20"/>
          <w:lang w:val="es-ES"/>
        </w:rPr>
        <w:t>equidad y la desigualdad, y la crisis climática. A pesar de su amplia prevalencia y de sus devastadoras consecuencias humanas y económicas, las ENT no reciben la atención urgente que merecen.</w:t>
      </w:r>
    </w:p>
    <w:p w14:paraId="188347D3" w14:textId="1BC38B65" w:rsidR="000E4BA3" w:rsidRPr="000E4BA3" w:rsidRDefault="000E4BA3" w:rsidP="00487880">
      <w:pPr>
        <w:spacing w:after="100" w:afterAutospacing="1"/>
        <w:rPr>
          <w:rFonts w:eastAsia="Calibri" w:cs="Calibri"/>
          <w:sz w:val="20"/>
          <w:szCs w:val="20"/>
          <w:lang w:val="es-ES"/>
        </w:rPr>
      </w:pPr>
      <w:r w:rsidRPr="000E4BA3">
        <w:rPr>
          <w:rFonts w:cs="Calibri"/>
          <w:color w:val="FF0000"/>
          <w:szCs w:val="22"/>
          <w:shd w:val="clear" w:color="auto" w:fill="FFFF00"/>
          <w:lang w:val="es-ES"/>
        </w:rPr>
        <w:t>[Considere agregar sus estadísticas locales].</w:t>
      </w:r>
    </w:p>
    <w:p w14:paraId="34687687" w14:textId="574A9B82" w:rsidR="00C04DAC" w:rsidRPr="000E4BA3" w:rsidRDefault="000E4BA3" w:rsidP="00AD23FA">
      <w:pPr>
        <w:spacing w:after="100" w:afterAutospacing="1"/>
        <w:rPr>
          <w:rFonts w:cs="Calibri"/>
          <w:sz w:val="20"/>
          <w:szCs w:val="20"/>
          <w:lang w:val="es-ES"/>
        </w:rPr>
      </w:pPr>
      <w:r w:rsidRPr="000E4BA3">
        <w:rPr>
          <w:rStyle w:val="normaltextrun"/>
          <w:rFonts w:cs="Calibri"/>
          <w:b/>
          <w:bCs/>
          <w:szCs w:val="22"/>
          <w:lang w:val="es-ES"/>
        </w:rPr>
        <w:t xml:space="preserve">Acerca de </w:t>
      </w:r>
      <w:r w:rsidRPr="000E4BA3">
        <w:rPr>
          <w:rStyle w:val="normaltextrun"/>
          <w:rFonts w:cs="Calibri"/>
          <w:color w:val="FF0000"/>
          <w:szCs w:val="22"/>
          <w:lang w:val="es-ES"/>
        </w:rPr>
        <w:t>[breve descripción de su organización]  </w:t>
      </w:r>
      <w:r w:rsidRPr="000E4BA3">
        <w:rPr>
          <w:rStyle w:val="eop"/>
          <w:rFonts w:cs="Calibri"/>
          <w:color w:val="FF0000"/>
          <w:szCs w:val="22"/>
          <w:lang w:val="es-ES"/>
        </w:rPr>
        <w:t> </w:t>
      </w:r>
    </w:p>
    <w:sectPr w:rsidR="00C04DAC" w:rsidRPr="000E4BA3" w:rsidSect="00232042">
      <w:pgSz w:w="11906" w:h="16838"/>
      <w:pgMar w:top="990" w:right="968" w:bottom="11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9242A"/>
    <w:multiLevelType w:val="hybridMultilevel"/>
    <w:tmpl w:val="8D7AF00C"/>
    <w:lvl w:ilvl="0" w:tplc="C2BEA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06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4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80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21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4B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C5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00C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7505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DB"/>
    <w:rsid w:val="00007527"/>
    <w:rsid w:val="00051A24"/>
    <w:rsid w:val="000B4710"/>
    <w:rsid w:val="000B695B"/>
    <w:rsid w:val="000E4BA3"/>
    <w:rsid w:val="00127000"/>
    <w:rsid w:val="00131AA1"/>
    <w:rsid w:val="00133AEB"/>
    <w:rsid w:val="00135799"/>
    <w:rsid w:val="00150066"/>
    <w:rsid w:val="0016245F"/>
    <w:rsid w:val="00175352"/>
    <w:rsid w:val="001A406E"/>
    <w:rsid w:val="001B789C"/>
    <w:rsid w:val="001D5688"/>
    <w:rsid w:val="001E18FC"/>
    <w:rsid w:val="00223808"/>
    <w:rsid w:val="00223DD6"/>
    <w:rsid w:val="00232042"/>
    <w:rsid w:val="00242A94"/>
    <w:rsid w:val="00244D9F"/>
    <w:rsid w:val="00257E59"/>
    <w:rsid w:val="00265AB1"/>
    <w:rsid w:val="00287061"/>
    <w:rsid w:val="00292280"/>
    <w:rsid w:val="002B1B7F"/>
    <w:rsid w:val="002C0609"/>
    <w:rsid w:val="0031569B"/>
    <w:rsid w:val="0031593F"/>
    <w:rsid w:val="00333E8C"/>
    <w:rsid w:val="003375E9"/>
    <w:rsid w:val="00345A0C"/>
    <w:rsid w:val="00347D47"/>
    <w:rsid w:val="003552F6"/>
    <w:rsid w:val="003B325A"/>
    <w:rsid w:val="003B3D52"/>
    <w:rsid w:val="003C4D8A"/>
    <w:rsid w:val="003D4148"/>
    <w:rsid w:val="003E35C8"/>
    <w:rsid w:val="003EDD0F"/>
    <w:rsid w:val="003F38A3"/>
    <w:rsid w:val="004043B8"/>
    <w:rsid w:val="00467223"/>
    <w:rsid w:val="00475222"/>
    <w:rsid w:val="004849CC"/>
    <w:rsid w:val="00487880"/>
    <w:rsid w:val="004A62C8"/>
    <w:rsid w:val="004A78A5"/>
    <w:rsid w:val="004F47A9"/>
    <w:rsid w:val="00504010"/>
    <w:rsid w:val="0050554A"/>
    <w:rsid w:val="00514B28"/>
    <w:rsid w:val="0054739C"/>
    <w:rsid w:val="00565A2F"/>
    <w:rsid w:val="00566ACA"/>
    <w:rsid w:val="00576DEB"/>
    <w:rsid w:val="005A192C"/>
    <w:rsid w:val="005C4AC6"/>
    <w:rsid w:val="005D531B"/>
    <w:rsid w:val="005D60C9"/>
    <w:rsid w:val="005D6CDB"/>
    <w:rsid w:val="005D7E91"/>
    <w:rsid w:val="00604EF0"/>
    <w:rsid w:val="00631A3D"/>
    <w:rsid w:val="00643794"/>
    <w:rsid w:val="0065026A"/>
    <w:rsid w:val="006555E8"/>
    <w:rsid w:val="00663D10"/>
    <w:rsid w:val="00667DAC"/>
    <w:rsid w:val="006712E8"/>
    <w:rsid w:val="006925AE"/>
    <w:rsid w:val="006D703D"/>
    <w:rsid w:val="006E21BA"/>
    <w:rsid w:val="006E2BE6"/>
    <w:rsid w:val="007119B7"/>
    <w:rsid w:val="00714BAB"/>
    <w:rsid w:val="0072786E"/>
    <w:rsid w:val="00734C20"/>
    <w:rsid w:val="00736F9F"/>
    <w:rsid w:val="0076129E"/>
    <w:rsid w:val="0077290F"/>
    <w:rsid w:val="007837A0"/>
    <w:rsid w:val="007E79BC"/>
    <w:rsid w:val="007F084B"/>
    <w:rsid w:val="007F35D5"/>
    <w:rsid w:val="008414AE"/>
    <w:rsid w:val="00842097"/>
    <w:rsid w:val="00842BB5"/>
    <w:rsid w:val="00883E48"/>
    <w:rsid w:val="008B650D"/>
    <w:rsid w:val="008E58A0"/>
    <w:rsid w:val="008E6B58"/>
    <w:rsid w:val="00911144"/>
    <w:rsid w:val="009275B0"/>
    <w:rsid w:val="00943882"/>
    <w:rsid w:val="009553EE"/>
    <w:rsid w:val="00961CD2"/>
    <w:rsid w:val="009C21DD"/>
    <w:rsid w:val="009C6CF2"/>
    <w:rsid w:val="009F1642"/>
    <w:rsid w:val="00A159F0"/>
    <w:rsid w:val="00A73115"/>
    <w:rsid w:val="00A9309D"/>
    <w:rsid w:val="00AB7460"/>
    <w:rsid w:val="00AD23FA"/>
    <w:rsid w:val="00AD4F19"/>
    <w:rsid w:val="00B02855"/>
    <w:rsid w:val="00B06026"/>
    <w:rsid w:val="00B36A07"/>
    <w:rsid w:val="00B62FB3"/>
    <w:rsid w:val="00B7793E"/>
    <w:rsid w:val="00BD0788"/>
    <w:rsid w:val="00C04DAC"/>
    <w:rsid w:val="00C050FA"/>
    <w:rsid w:val="00C234C2"/>
    <w:rsid w:val="00C259A3"/>
    <w:rsid w:val="00C45B1F"/>
    <w:rsid w:val="00C51814"/>
    <w:rsid w:val="00C8484A"/>
    <w:rsid w:val="00C94F42"/>
    <w:rsid w:val="00CA3BA1"/>
    <w:rsid w:val="00CB256C"/>
    <w:rsid w:val="00CD29B2"/>
    <w:rsid w:val="00CD4186"/>
    <w:rsid w:val="00CF699A"/>
    <w:rsid w:val="00D37441"/>
    <w:rsid w:val="00D447AA"/>
    <w:rsid w:val="00D46608"/>
    <w:rsid w:val="00DA4A4F"/>
    <w:rsid w:val="00DA738D"/>
    <w:rsid w:val="00DD4A21"/>
    <w:rsid w:val="00DE6FD4"/>
    <w:rsid w:val="00DF2E4F"/>
    <w:rsid w:val="00E05C96"/>
    <w:rsid w:val="00E10F8D"/>
    <w:rsid w:val="00E11F6D"/>
    <w:rsid w:val="00E127C2"/>
    <w:rsid w:val="00E16D0E"/>
    <w:rsid w:val="00E17325"/>
    <w:rsid w:val="00E20870"/>
    <w:rsid w:val="00E323EB"/>
    <w:rsid w:val="00E4381D"/>
    <w:rsid w:val="00EC2C2A"/>
    <w:rsid w:val="00F31197"/>
    <w:rsid w:val="00F349D1"/>
    <w:rsid w:val="00F64F3E"/>
    <w:rsid w:val="00F72F67"/>
    <w:rsid w:val="00F9425A"/>
    <w:rsid w:val="00FC1FCA"/>
    <w:rsid w:val="00FD327B"/>
    <w:rsid w:val="00FD54C8"/>
    <w:rsid w:val="00FE1DD8"/>
    <w:rsid w:val="0139CEF8"/>
    <w:rsid w:val="014E690D"/>
    <w:rsid w:val="021406AC"/>
    <w:rsid w:val="0242C26B"/>
    <w:rsid w:val="05105F4D"/>
    <w:rsid w:val="05C2577A"/>
    <w:rsid w:val="05D02A37"/>
    <w:rsid w:val="07EF6CA6"/>
    <w:rsid w:val="08A73B3C"/>
    <w:rsid w:val="08FBB43E"/>
    <w:rsid w:val="09D18EB7"/>
    <w:rsid w:val="0B2CA43E"/>
    <w:rsid w:val="0B4A2FF5"/>
    <w:rsid w:val="0BD16451"/>
    <w:rsid w:val="0C25CB9C"/>
    <w:rsid w:val="0C85A927"/>
    <w:rsid w:val="0C9E930C"/>
    <w:rsid w:val="0E4632CD"/>
    <w:rsid w:val="100320AC"/>
    <w:rsid w:val="1024D5A4"/>
    <w:rsid w:val="107A6F4E"/>
    <w:rsid w:val="111CF68C"/>
    <w:rsid w:val="1262D2E7"/>
    <w:rsid w:val="126A52DE"/>
    <w:rsid w:val="13336F78"/>
    <w:rsid w:val="13FBF082"/>
    <w:rsid w:val="14864965"/>
    <w:rsid w:val="160A30D1"/>
    <w:rsid w:val="17137925"/>
    <w:rsid w:val="177A42BF"/>
    <w:rsid w:val="1797F95C"/>
    <w:rsid w:val="186801FB"/>
    <w:rsid w:val="1AD10E78"/>
    <w:rsid w:val="1B87E8BC"/>
    <w:rsid w:val="1BFD62C7"/>
    <w:rsid w:val="1CE4DB47"/>
    <w:rsid w:val="1D0347AC"/>
    <w:rsid w:val="1D40EE1D"/>
    <w:rsid w:val="1D707395"/>
    <w:rsid w:val="1DC48A7D"/>
    <w:rsid w:val="1FEF1A0D"/>
    <w:rsid w:val="1FF29933"/>
    <w:rsid w:val="21EFD754"/>
    <w:rsid w:val="221E8BD1"/>
    <w:rsid w:val="235E45C6"/>
    <w:rsid w:val="238E9E86"/>
    <w:rsid w:val="247229BA"/>
    <w:rsid w:val="25292019"/>
    <w:rsid w:val="25BA082B"/>
    <w:rsid w:val="2687B77B"/>
    <w:rsid w:val="282C1C25"/>
    <w:rsid w:val="2834884B"/>
    <w:rsid w:val="28722AF8"/>
    <w:rsid w:val="28984904"/>
    <w:rsid w:val="29DDA450"/>
    <w:rsid w:val="2A62A1EA"/>
    <w:rsid w:val="2A8F9024"/>
    <w:rsid w:val="2C15DB47"/>
    <w:rsid w:val="2C51AC95"/>
    <w:rsid w:val="2C9957B9"/>
    <w:rsid w:val="2CB2FB66"/>
    <w:rsid w:val="2CDCA824"/>
    <w:rsid w:val="2CFF6704"/>
    <w:rsid w:val="2D98A9E6"/>
    <w:rsid w:val="2FD114FA"/>
    <w:rsid w:val="30BAF042"/>
    <w:rsid w:val="30D0D1E9"/>
    <w:rsid w:val="31588E3D"/>
    <w:rsid w:val="3352DF14"/>
    <w:rsid w:val="34EF567F"/>
    <w:rsid w:val="35851273"/>
    <w:rsid w:val="36A186F4"/>
    <w:rsid w:val="36AE3D44"/>
    <w:rsid w:val="3975B3AA"/>
    <w:rsid w:val="39F8426A"/>
    <w:rsid w:val="3A30AC98"/>
    <w:rsid w:val="3A348851"/>
    <w:rsid w:val="3A758AC6"/>
    <w:rsid w:val="3AB15EBF"/>
    <w:rsid w:val="3B234B1C"/>
    <w:rsid w:val="3C18630C"/>
    <w:rsid w:val="3C1F4342"/>
    <w:rsid w:val="3D0E9860"/>
    <w:rsid w:val="3DE91B75"/>
    <w:rsid w:val="3ECDF766"/>
    <w:rsid w:val="3F207F97"/>
    <w:rsid w:val="3F3447D8"/>
    <w:rsid w:val="40CAF04E"/>
    <w:rsid w:val="42C03071"/>
    <w:rsid w:val="431ABCB3"/>
    <w:rsid w:val="4321F8FA"/>
    <w:rsid w:val="44623326"/>
    <w:rsid w:val="44727A91"/>
    <w:rsid w:val="454096D9"/>
    <w:rsid w:val="45A5D995"/>
    <w:rsid w:val="45FC4464"/>
    <w:rsid w:val="46717B7E"/>
    <w:rsid w:val="468C7790"/>
    <w:rsid w:val="470368C6"/>
    <w:rsid w:val="47FC1852"/>
    <w:rsid w:val="48C5FDB9"/>
    <w:rsid w:val="492D768A"/>
    <w:rsid w:val="49A3405C"/>
    <w:rsid w:val="49D9B55A"/>
    <w:rsid w:val="4AE2DADE"/>
    <w:rsid w:val="4B50B460"/>
    <w:rsid w:val="4C88DD6D"/>
    <w:rsid w:val="4C910505"/>
    <w:rsid w:val="4E1373C6"/>
    <w:rsid w:val="4E247ABB"/>
    <w:rsid w:val="4EA61E96"/>
    <w:rsid w:val="4F2ACB3F"/>
    <w:rsid w:val="4F5A0E34"/>
    <w:rsid w:val="502B3D74"/>
    <w:rsid w:val="5304EB92"/>
    <w:rsid w:val="55E2C224"/>
    <w:rsid w:val="563E0079"/>
    <w:rsid w:val="569D9E54"/>
    <w:rsid w:val="56A57100"/>
    <w:rsid w:val="56BCA8C3"/>
    <w:rsid w:val="5820E1DE"/>
    <w:rsid w:val="5828B5C3"/>
    <w:rsid w:val="59363D3E"/>
    <w:rsid w:val="59CF9636"/>
    <w:rsid w:val="59F7850E"/>
    <w:rsid w:val="5A911ADB"/>
    <w:rsid w:val="5D0573BF"/>
    <w:rsid w:val="5DFF98E3"/>
    <w:rsid w:val="5E151225"/>
    <w:rsid w:val="5E16809C"/>
    <w:rsid w:val="5E4F15E8"/>
    <w:rsid w:val="5F102230"/>
    <w:rsid w:val="60F93417"/>
    <w:rsid w:val="64F7279A"/>
    <w:rsid w:val="65056741"/>
    <w:rsid w:val="6620798B"/>
    <w:rsid w:val="66C6C3AC"/>
    <w:rsid w:val="67D9AA2E"/>
    <w:rsid w:val="681435AF"/>
    <w:rsid w:val="68E398A6"/>
    <w:rsid w:val="69708C2C"/>
    <w:rsid w:val="6A97743A"/>
    <w:rsid w:val="6AD209EB"/>
    <w:rsid w:val="6B34C2F2"/>
    <w:rsid w:val="6B78F69E"/>
    <w:rsid w:val="6CB997B7"/>
    <w:rsid w:val="6CBBDB3F"/>
    <w:rsid w:val="6CD9042B"/>
    <w:rsid w:val="6E752A5B"/>
    <w:rsid w:val="6EA09DA9"/>
    <w:rsid w:val="6EB10140"/>
    <w:rsid w:val="6ED1B6D1"/>
    <w:rsid w:val="6FE9F023"/>
    <w:rsid w:val="719B3691"/>
    <w:rsid w:val="71ECCCED"/>
    <w:rsid w:val="72493772"/>
    <w:rsid w:val="7432C2D7"/>
    <w:rsid w:val="744C37BA"/>
    <w:rsid w:val="74A42B4E"/>
    <w:rsid w:val="778A9D19"/>
    <w:rsid w:val="77F97238"/>
    <w:rsid w:val="7A5D01E0"/>
    <w:rsid w:val="7AF953CE"/>
    <w:rsid w:val="7B3CCD07"/>
    <w:rsid w:val="7B731588"/>
    <w:rsid w:val="7BFD86C4"/>
    <w:rsid w:val="7D1C8FDC"/>
    <w:rsid w:val="7D8E5D0C"/>
    <w:rsid w:val="7F2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553353"/>
  <w15:chartTrackingRefBased/>
  <w15:docId w15:val="{DE858819-0B31-49B5-A3BD-25BF4EFD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5B0"/>
    <w:rPr>
      <w:rFonts w:ascii="Calibri" w:hAnsi="Calibri" w:cs="Times New Roman (Body CS)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C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C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C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C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C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C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C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C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C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CD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CDB"/>
    <w:rPr>
      <w:rFonts w:eastAsiaTheme="majorEastAsia" w:cstheme="majorBidi"/>
      <w:i/>
      <w:iCs/>
      <w:color w:val="0F4761" w:themeColor="accent1" w:themeShade="BF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CDB"/>
    <w:rPr>
      <w:rFonts w:eastAsiaTheme="majorEastAsia" w:cstheme="majorBidi"/>
      <w:color w:val="0F4761" w:themeColor="accent1" w:themeShade="BF"/>
      <w:sz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CDB"/>
    <w:rPr>
      <w:rFonts w:eastAsiaTheme="majorEastAsia" w:cstheme="majorBidi"/>
      <w:i/>
      <w:iCs/>
      <w:color w:val="595959" w:themeColor="text1" w:themeTint="A6"/>
      <w:sz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CDB"/>
    <w:rPr>
      <w:rFonts w:eastAsiaTheme="majorEastAsia" w:cstheme="majorBidi"/>
      <w:color w:val="595959" w:themeColor="text1" w:themeTint="A6"/>
      <w:sz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CDB"/>
    <w:rPr>
      <w:rFonts w:eastAsiaTheme="majorEastAsia" w:cstheme="majorBidi"/>
      <w:i/>
      <w:iCs/>
      <w:color w:val="272727" w:themeColor="text1" w:themeTint="D8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CDB"/>
    <w:rPr>
      <w:rFonts w:eastAsiaTheme="majorEastAsia" w:cstheme="majorBidi"/>
      <w:color w:val="272727" w:themeColor="text1" w:themeTint="D8"/>
      <w:sz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D6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CD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C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CD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D6C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CDB"/>
    <w:rPr>
      <w:rFonts w:ascii="Calibri" w:hAnsi="Calibri" w:cs="Times New Roman (Body CS)"/>
      <w:i/>
      <w:iCs/>
      <w:color w:val="404040" w:themeColor="text1" w:themeTint="BF"/>
      <w:sz w:val="22"/>
      <w:lang w:val="en-GB"/>
    </w:rPr>
  </w:style>
  <w:style w:type="paragraph" w:styleId="ListParagraph">
    <w:name w:val="List Paragraph"/>
    <w:basedOn w:val="Normal"/>
    <w:uiPriority w:val="34"/>
    <w:qFormat/>
    <w:rsid w:val="005D6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C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CDB"/>
    <w:rPr>
      <w:rFonts w:ascii="Calibri" w:hAnsi="Calibri" w:cs="Times New Roman (Body CS)"/>
      <w:i/>
      <w:iCs/>
      <w:color w:val="0F4761" w:themeColor="accent1" w:themeShade="BF"/>
      <w:sz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5D6CD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6C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D6CDB"/>
    <w:rPr>
      <w:b/>
      <w:bCs/>
    </w:rPr>
  </w:style>
  <w:style w:type="character" w:styleId="Hyperlink">
    <w:name w:val="Hyperlink"/>
    <w:basedOn w:val="DefaultParagraphFont"/>
    <w:uiPriority w:val="99"/>
    <w:unhideWhenUsed/>
    <w:rsid w:val="005D6C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B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6D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D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D0E"/>
    <w:rPr>
      <w:rFonts w:ascii="Calibri" w:hAnsi="Calibri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D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D0E"/>
    <w:rPr>
      <w:rFonts w:ascii="Calibri" w:hAnsi="Calibri" w:cs="Times New Roman (Body CS)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650D"/>
    <w:rPr>
      <w:rFonts w:ascii="Calibri" w:hAnsi="Calibri" w:cs="Times New Roman (Body CS)"/>
      <w:sz w:val="22"/>
    </w:rPr>
  </w:style>
  <w:style w:type="character" w:customStyle="1" w:styleId="normaltextrun">
    <w:name w:val="normaltextrun"/>
    <w:basedOn w:val="DefaultParagraphFont"/>
    <w:rsid w:val="000E4BA3"/>
  </w:style>
  <w:style w:type="paragraph" w:customStyle="1" w:styleId="paragraph">
    <w:name w:val="paragraph"/>
    <w:basedOn w:val="Normal"/>
    <w:rsid w:val="000E4B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ES" w:eastAsia="en-GB"/>
      <w14:ligatures w14:val="none"/>
    </w:rPr>
  </w:style>
  <w:style w:type="character" w:customStyle="1" w:styleId="eop">
    <w:name w:val="eop"/>
    <w:basedOn w:val="DefaultParagraphFont"/>
    <w:rsid w:val="000E4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a9328-9f44-43fa-ad6c-d16280f03ff8" xsi:nil="true"/>
    <lcf76f155ced4ddcb4097134ff3c332f xmlns="0091eee2-e2de-4697-9c8a-d069f309f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53F7CD8C96B4FBB25679FB26F2BC1" ma:contentTypeVersion="19" ma:contentTypeDescription="Create a new document." ma:contentTypeScope="" ma:versionID="5a3905a46d27af6621a8d329eb9e0b22">
  <xsd:schema xmlns:xsd="http://www.w3.org/2001/XMLSchema" xmlns:xs="http://www.w3.org/2001/XMLSchema" xmlns:p="http://schemas.microsoft.com/office/2006/metadata/properties" xmlns:ns2="0091eee2-e2de-4697-9c8a-d069f309f7f7" xmlns:ns3="215a9328-9f44-43fa-ad6c-d16280f03ff8" targetNamespace="http://schemas.microsoft.com/office/2006/metadata/properties" ma:root="true" ma:fieldsID="b083f9640dcfc376c6a02edccbf46d1c" ns2:_="" ns3:_="">
    <xsd:import namespace="0091eee2-e2de-4697-9c8a-d069f309f7f7"/>
    <xsd:import namespace="215a9328-9f44-43fa-ad6c-d16280f03f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1eee2-e2de-4697-9c8a-d069f309f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1baa2e-d44d-456e-ac5a-be863e13a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a9328-9f44-43fa-ad6c-d16280f03f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806542-b189-4ded-abfd-d1cb6e405c5a}" ma:internalName="TaxCatchAll" ma:showField="CatchAllData" ma:web="215a9328-9f44-43fa-ad6c-d16280f03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D3F5F3-6537-437C-A6D1-489EFA63A084}">
  <ds:schemaRefs>
    <ds:schemaRef ds:uri="http://schemas.microsoft.com/office/2006/metadata/properties"/>
    <ds:schemaRef ds:uri="http://schemas.microsoft.com/office/infopath/2007/PartnerControls"/>
    <ds:schemaRef ds:uri="215a9328-9f44-43fa-ad6c-d16280f03ff8"/>
    <ds:schemaRef ds:uri="0091eee2-e2de-4697-9c8a-d069f309f7f7"/>
  </ds:schemaRefs>
</ds:datastoreItem>
</file>

<file path=customXml/itemProps2.xml><?xml version="1.0" encoding="utf-8"?>
<ds:datastoreItem xmlns:ds="http://schemas.openxmlformats.org/officeDocument/2006/customXml" ds:itemID="{A2EDB15B-53A2-48F6-A1CA-07B3167B88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595C4-A294-406A-94D0-7F2CA3FED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1eee2-e2de-4697-9c8a-d069f309f7f7"/>
    <ds:schemaRef ds:uri="215a9328-9f44-43fa-ad6c-d16280f03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BORRADOR, Comunicado de prensa de la Semana Mundial de Acción sobre las ENT 2026</vt:lpstr>
      <vt:lpstr>BORRADOR, Comunicado de prensa de la Semana Mundial de Acción sobre las ENT 2026</vt:lpstr>
    </vt:vector>
  </TitlesOfParts>
  <Company>Spatial Awareness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BORRADOR, Comunicado de prensa de la Semana Mundial de Acción sobre las ENT 2026</dc:title>
  <dc:subject>Traducción al español</dc:subject>
  <dc:creator>Gina Sanchez</dc:creator>
  <cp:keywords/>
  <dc:description/>
  <cp:lastModifiedBy>Jimena Marquez</cp:lastModifiedBy>
  <cp:revision>4</cp:revision>
  <dcterms:created xsi:type="dcterms:W3CDTF">2026-08-19T07:34:00Z</dcterms:created>
  <dcterms:modified xsi:type="dcterms:W3CDTF">2026-08-19T07:59:00Z</dcterms:modified>
  <dc:language>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0x0101001EE53F7CD8C96B4FBB25679FB26F2BC1</vt:lpwstr>
  </property>
  <property fmtid="{D5CDD505-2E9C-101B-9397-08002B2CF9AE}" pid="3" name="MediaServiceImageTags">
    <vt:lpwstr/>
  </property>
</Properties>
</file>