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D6A4" w14:textId="61651D43" w:rsidR="30561774" w:rsidRDefault="30561774" w:rsidP="30561774">
      <w:pPr>
        <w:ind w:left="720" w:hanging="360"/>
        <w:jc w:val="center"/>
        <w:rPr>
          <w:rFonts w:ascii="Calibri" w:hAnsi="Calibri" w:cs="Calibri"/>
          <w:color w:val="EE0000"/>
          <w:highlight w:val="yellow"/>
        </w:rPr>
      </w:pPr>
    </w:p>
    <w:p w14:paraId="0E0A4167" w14:textId="51F3CBAF" w:rsidR="6A289E35" w:rsidRDefault="6A289E35" w:rsidP="30561774">
      <w:pPr>
        <w:ind w:left="720" w:hanging="360"/>
        <w:jc w:val="center"/>
        <w:rPr>
          <w:rFonts w:ascii="Calibri" w:hAnsi="Calibri" w:cs="Calibri"/>
          <w:color w:val="EE0000"/>
          <w:lang w:val="es-ES"/>
        </w:rPr>
      </w:pPr>
      <w:r w:rsidRPr="007343B0">
        <w:rPr>
          <w:rFonts w:ascii="Calibri" w:hAnsi="Calibri" w:cs="Calibri"/>
          <w:color w:val="EE0000"/>
          <w:highlight w:val="yellow"/>
          <w:lang w:val="es-ES"/>
        </w:rPr>
        <w:t xml:space="preserve">PLANTILLA DE COMUNICADO DE PRENSA </w:t>
      </w:r>
    </w:p>
    <w:p w14:paraId="0C54DAB7" w14:textId="77777777" w:rsidR="007343B0" w:rsidRPr="007343B0" w:rsidRDefault="007343B0" w:rsidP="30561774">
      <w:pPr>
        <w:ind w:left="720" w:hanging="360"/>
        <w:jc w:val="center"/>
        <w:rPr>
          <w:rFonts w:ascii="Calibri" w:hAnsi="Calibri" w:cs="Calibri"/>
          <w:color w:val="EE0000"/>
          <w:lang w:val="es-ES"/>
        </w:rPr>
      </w:pPr>
    </w:p>
    <w:p w14:paraId="48ADF883" w14:textId="45050C8F" w:rsidR="4EDB522C" w:rsidRDefault="2DA8B0B4" w:rsidP="74B6359C">
      <w:pPr>
        <w:jc w:val="center"/>
        <w:rPr>
          <w:rFonts w:ascii="Calibri" w:hAnsi="Calibri" w:cs="Calibri"/>
          <w:b/>
          <w:bCs/>
          <w:color w:val="FF0000"/>
          <w:sz w:val="22"/>
          <w:szCs w:val="22"/>
          <w:highlight w:val="yellow"/>
          <w:lang w:val="es-ES"/>
        </w:rPr>
      </w:pPr>
      <w:r w:rsidRPr="74B6359C">
        <w:rPr>
          <w:rFonts w:ascii="Calibri" w:hAnsi="Calibri" w:cs="Calibri"/>
          <w:b/>
          <w:bCs/>
          <w:color w:val="FF0000"/>
          <w:sz w:val="22"/>
          <w:szCs w:val="22"/>
          <w:highlight w:val="yellow"/>
          <w:lang w:val="es-ES"/>
        </w:rPr>
        <w:t>(</w:t>
      </w:r>
      <w:r w:rsidR="33D710C0" w:rsidRPr="74B6359C">
        <w:rPr>
          <w:rFonts w:ascii="Calibri" w:hAnsi="Calibri" w:cs="Calibri"/>
          <w:b/>
          <w:bCs/>
          <w:color w:val="FF0000"/>
          <w:sz w:val="22"/>
          <w:szCs w:val="22"/>
          <w:highlight w:val="yellow"/>
          <w:lang w:val="es-ES"/>
        </w:rPr>
        <w:t>NOTA ACLARATORIA</w:t>
      </w:r>
      <w:r w:rsidRPr="74B6359C">
        <w:rPr>
          <w:rFonts w:ascii="Calibri" w:hAnsi="Calibri" w:cs="Calibri"/>
          <w:b/>
          <w:bCs/>
          <w:color w:val="FF0000"/>
          <w:sz w:val="22"/>
          <w:szCs w:val="22"/>
          <w:highlight w:val="yellow"/>
          <w:lang w:val="es-ES"/>
        </w:rPr>
        <w:t>:</w:t>
      </w:r>
      <w:r w:rsidR="1FA7B0E1" w:rsidRPr="74B6359C">
        <w:rPr>
          <w:rFonts w:ascii="Calibri" w:hAnsi="Calibri" w:cs="Calibri"/>
          <w:b/>
          <w:bCs/>
          <w:color w:val="FF0000"/>
          <w:sz w:val="22"/>
          <w:szCs w:val="22"/>
          <w:highlight w:val="yellow"/>
          <w:lang w:val="es-ES"/>
        </w:rPr>
        <w:t xml:space="preserve"> ESTA PLANTILLA SE BASA EN LA INFORMACIÓN QUE TIENE AL DÍA DE HOY, 28 DE AGOSTO LA ALIANZA DE ENT, Y SE ACTUALIZARÁ A MEDIDA QUE RECIBAMOS ÚLTIMAS NOTICIAS</w:t>
      </w:r>
      <w:r w:rsidRPr="74B6359C">
        <w:rPr>
          <w:rFonts w:ascii="Calibri" w:hAnsi="Calibri" w:cs="Calibri"/>
          <w:b/>
          <w:bCs/>
          <w:color w:val="FF0000"/>
          <w:sz w:val="22"/>
          <w:szCs w:val="22"/>
          <w:highlight w:val="yellow"/>
          <w:lang w:val="es-ES"/>
        </w:rPr>
        <w:t>)</w:t>
      </w:r>
    </w:p>
    <w:p w14:paraId="2E51E6A9" w14:textId="2068BFFF" w:rsidR="74B6359C" w:rsidRPr="007343B0" w:rsidRDefault="74B6359C" w:rsidP="74B6359C">
      <w:pPr>
        <w:ind w:left="720" w:hanging="360"/>
        <w:jc w:val="center"/>
        <w:rPr>
          <w:rFonts w:ascii="Calibri" w:hAnsi="Calibri" w:cs="Calibri"/>
          <w:color w:val="EE0000"/>
          <w:highlight w:val="yellow"/>
          <w:lang w:val="es-ES"/>
        </w:rPr>
      </w:pPr>
    </w:p>
    <w:p w14:paraId="51CD9C60" w14:textId="284D3127" w:rsidR="30561774" w:rsidRPr="007343B0" w:rsidRDefault="30561774" w:rsidP="30561774">
      <w:pPr>
        <w:ind w:left="720" w:hanging="360"/>
        <w:jc w:val="center"/>
        <w:rPr>
          <w:rFonts w:ascii="Calibri" w:hAnsi="Calibri" w:cs="Calibri"/>
          <w:color w:val="EE0000"/>
          <w:highlight w:val="yellow"/>
          <w:lang w:val="es-ES"/>
        </w:rPr>
      </w:pPr>
    </w:p>
    <w:p w14:paraId="789E6E23" w14:textId="4E226C71" w:rsidR="6A289E35" w:rsidRPr="007343B0" w:rsidRDefault="6A289E35" w:rsidP="30561774">
      <w:pPr>
        <w:pStyle w:val="Prrafodelista"/>
        <w:spacing w:line="259" w:lineRule="auto"/>
        <w:jc w:val="center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7343B0">
        <w:rPr>
          <w:rFonts w:ascii="Calibri" w:hAnsi="Calibri" w:cs="Calibri"/>
          <w:sz w:val="22"/>
          <w:szCs w:val="22"/>
          <w:highlight w:val="yellow"/>
          <w:lang w:val="es-ES"/>
        </w:rPr>
        <w:t>BAJO EMBARGO HASTA EL MIÉRCOLES 17 DE SEPTIEMBRE DE 2025, 23:30</w:t>
      </w:r>
    </w:p>
    <w:p w14:paraId="0A4138AC" w14:textId="02EC172D" w:rsidR="30561774" w:rsidRPr="007343B0" w:rsidRDefault="30561774" w:rsidP="30561774">
      <w:pPr>
        <w:pStyle w:val="Prrafodelista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03D6B508" w14:textId="60EBC608" w:rsidR="33FE4D0B" w:rsidRDefault="20950FCF" w:rsidP="2C6ACF26">
      <w:pPr>
        <w:pStyle w:val="Prrafodelista"/>
        <w:spacing w:line="259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 w:rsidRPr="2C6ACF26">
        <w:rPr>
          <w:rFonts w:ascii="Calibri" w:hAnsi="Calibri" w:cs="Calibri"/>
          <w:b/>
          <w:bCs/>
          <w:sz w:val="32"/>
          <w:szCs w:val="32"/>
          <w:lang w:val="es-ES"/>
        </w:rPr>
        <w:t>Nuevos objetivos de la ONU sobre enfermedades no transmisibles</w:t>
      </w:r>
      <w:r w:rsidR="5410E752" w:rsidRPr="2C6ACF26">
        <w:rPr>
          <w:rFonts w:ascii="Calibri" w:hAnsi="Calibri" w:cs="Calibri"/>
          <w:b/>
          <w:bCs/>
          <w:sz w:val="32"/>
          <w:szCs w:val="32"/>
          <w:lang w:val="es-ES"/>
        </w:rPr>
        <w:t xml:space="preserve"> marcan un avance, pero la sociedad civil exige medidas urgentes </w:t>
      </w:r>
    </w:p>
    <w:p w14:paraId="526060E6" w14:textId="21EF455D" w:rsidR="33FE4D0B" w:rsidRPr="007343B0" w:rsidRDefault="61A1B6E2" w:rsidP="2C6ACF26">
      <w:pPr>
        <w:pStyle w:val="paragraph"/>
        <w:spacing w:before="195" w:beforeAutospacing="0" w:after="195" w:afterAutospacing="0"/>
        <w:rPr>
          <w:rFonts w:ascii="Calibri" w:eastAsia="Calibri" w:hAnsi="Calibri" w:cs="Calibri"/>
          <w:sz w:val="22"/>
          <w:szCs w:val="22"/>
          <w:lang w:val="es-ES"/>
        </w:rPr>
      </w:pPr>
      <w:r w:rsidRPr="007343B0">
        <w:rPr>
          <w:rStyle w:val="normaltextrun"/>
          <w:rFonts w:ascii="Calibri" w:eastAsiaTheme="majorEastAsia" w:hAnsi="Calibri" w:cs="Calibri"/>
          <w:b/>
          <w:sz w:val="22"/>
          <w:szCs w:val="22"/>
          <w:lang w:val="es-ES"/>
        </w:rPr>
        <w:t xml:space="preserve">Jueves, 18 de septiembre de 2025 </w:t>
      </w:r>
      <w:r w:rsidRPr="007343B0">
        <w:rPr>
          <w:rStyle w:val="normaltextrun"/>
          <w:rFonts w:ascii="Calibri" w:eastAsiaTheme="majorEastAsia" w:hAnsi="Calibri" w:cs="Calibri"/>
          <w:b/>
          <w:color w:val="EE0000"/>
          <w:sz w:val="22"/>
          <w:szCs w:val="22"/>
          <w:highlight w:val="yellow"/>
          <w:lang w:val="es-ES"/>
        </w:rPr>
        <w:t>[incluir nombre de su ciudad</w:t>
      </w:r>
      <w:proofErr w:type="gramStart"/>
      <w:r w:rsidRPr="007343B0">
        <w:rPr>
          <w:rStyle w:val="normaltextrun"/>
          <w:rFonts w:ascii="Calibri" w:eastAsiaTheme="majorEastAsia" w:hAnsi="Calibri" w:cs="Calibri"/>
          <w:b/>
          <w:color w:val="EE0000"/>
          <w:sz w:val="22"/>
          <w:szCs w:val="22"/>
          <w:highlight w:val="yellow"/>
          <w:lang w:val="es-ES"/>
        </w:rPr>
        <w:t>].-</w:t>
      </w:r>
      <w:proofErr w:type="gramEnd"/>
      <w:r w:rsidRPr="007343B0">
        <w:rPr>
          <w:rFonts w:ascii="Calibri" w:eastAsia="Calibri" w:hAnsi="Calibri" w:cs="Calibri"/>
          <w:b/>
          <w:sz w:val="22"/>
          <w:szCs w:val="22"/>
          <w:lang w:val="es-ES"/>
        </w:rPr>
        <w:t xml:space="preserve"> </w:t>
      </w:r>
      <w:r w:rsidR="2404FC9D" w:rsidRPr="007343B0">
        <w:rPr>
          <w:rFonts w:ascii="Calibri" w:eastAsia="Calibri" w:hAnsi="Calibri" w:cs="Calibri"/>
          <w:b/>
          <w:sz w:val="22"/>
          <w:szCs w:val="22"/>
          <w:lang w:val="es-ES"/>
        </w:rPr>
        <w:t>Los objetivos incluidos en el borrador de declaración política de la próxima Reunión de Alto Nivel de la ONU sobre enfermedades no transmisibles y salud mental (RAN4) representan un paso adelante al reconocer la urgencia y magnitud de esta epidemia mundial. Sin embargo, persisten deficiencias críticas que requieren medidas urgentes, advirtió</w:t>
      </w:r>
      <w:r w:rsidR="2404FC9D" w:rsidRPr="007343B0">
        <w:rPr>
          <w:rFonts w:ascii="Calibri" w:eastAsia="Calibri" w:hAnsi="Calibri" w:cs="Calibri"/>
          <w:b/>
          <w:color w:val="FF0000"/>
          <w:sz w:val="22"/>
          <w:szCs w:val="22"/>
          <w:lang w:val="es-ES"/>
        </w:rPr>
        <w:t xml:space="preserve"> </w:t>
      </w:r>
      <w:r w:rsidR="2404FC9D" w:rsidRPr="007343B0">
        <w:rPr>
          <w:rFonts w:ascii="Calibri" w:eastAsia="Calibri" w:hAnsi="Calibri" w:cs="Calibri"/>
          <w:b/>
          <w:color w:val="FF0000"/>
          <w:sz w:val="22"/>
          <w:szCs w:val="22"/>
          <w:highlight w:val="yellow"/>
          <w:lang w:val="es-ES"/>
        </w:rPr>
        <w:t>[incluya el nombre de su organización]</w:t>
      </w:r>
      <w:r w:rsidR="2404FC9D" w:rsidRPr="007343B0">
        <w:rPr>
          <w:rFonts w:ascii="Calibri" w:eastAsia="Calibri" w:hAnsi="Calibri" w:cs="Calibri"/>
          <w:b/>
          <w:color w:val="FF0000"/>
          <w:sz w:val="22"/>
          <w:szCs w:val="22"/>
          <w:lang w:val="es-ES"/>
        </w:rPr>
        <w:t xml:space="preserve"> </w:t>
      </w:r>
      <w:r w:rsidR="2404FC9D" w:rsidRPr="007343B0">
        <w:rPr>
          <w:rFonts w:ascii="Calibri" w:eastAsia="Calibri" w:hAnsi="Calibri" w:cs="Calibri"/>
          <w:b/>
          <w:sz w:val="22"/>
          <w:szCs w:val="22"/>
          <w:lang w:val="es-ES"/>
        </w:rPr>
        <w:t>en el lanzamiento de la Semana Mundial de Acción sobre las ENT.</w:t>
      </w:r>
    </w:p>
    <w:p w14:paraId="09E63FF2" w14:textId="71C86BA8" w:rsidR="33FE4D0B" w:rsidRDefault="7D740934" w:rsidP="4BBB5B53">
      <w:pPr>
        <w:spacing w:before="195" w:after="195"/>
        <w:rPr>
          <w:rFonts w:ascii="Calibri" w:eastAsia="Calibri" w:hAnsi="Calibri" w:cs="Calibri"/>
          <w:sz w:val="22"/>
          <w:szCs w:val="22"/>
          <w:lang w:val="es-ES"/>
        </w:rPr>
      </w:pPr>
      <w:r w:rsidRPr="74B6359C">
        <w:rPr>
          <w:rFonts w:ascii="Calibri" w:eastAsia="Calibri" w:hAnsi="Calibri" w:cs="Calibri"/>
          <w:sz w:val="22"/>
          <w:szCs w:val="22"/>
          <w:lang w:val="es-ES"/>
        </w:rPr>
        <w:t xml:space="preserve">Los objetivos </w:t>
      </w:r>
      <w:r w:rsidR="620C586F" w:rsidRPr="74B6359C">
        <w:rPr>
          <w:rFonts w:ascii="Calibri" w:eastAsia="Calibri" w:hAnsi="Calibri" w:cs="Calibri"/>
          <w:sz w:val="22"/>
          <w:szCs w:val="22"/>
          <w:lang w:val="es-ES"/>
        </w:rPr>
        <w:t>sobre prevención</w:t>
      </w:r>
      <w:r w:rsidRPr="74B6359C">
        <w:rPr>
          <w:rFonts w:ascii="Calibri" w:eastAsia="Calibri" w:hAnsi="Calibri" w:cs="Calibri"/>
          <w:sz w:val="22"/>
          <w:szCs w:val="22"/>
          <w:lang w:val="es-ES"/>
        </w:rPr>
        <w:t xml:space="preserve">, atención primaria de salud, financiación, fortalecimiento de la gobernanza, y datos y vigilancia son elementos importantes que </w:t>
      </w:r>
      <w:r w:rsidR="00BF0437" w:rsidRPr="00BF0437">
        <w:rPr>
          <w:rFonts w:ascii="Calibri" w:eastAsia="Calibri" w:hAnsi="Calibri" w:cs="Calibri"/>
          <w:sz w:val="22"/>
          <w:szCs w:val="22"/>
          <w:lang w:val="es-ES"/>
        </w:rPr>
        <w:t>demuestran compromiso y sientan la base para medir los progresos.</w:t>
      </w:r>
      <w:r w:rsidRPr="74B6359C">
        <w:rPr>
          <w:rFonts w:ascii="Calibri" w:eastAsia="Calibri" w:hAnsi="Calibri" w:cs="Calibri"/>
          <w:sz w:val="22"/>
          <w:szCs w:val="22"/>
          <w:lang w:val="es-ES"/>
        </w:rPr>
        <w:t xml:space="preserve"> “La siguiente etapa será la acción nacional, y la sociedad civil está lista para seguir exigiendo avances”, afirmó </w:t>
      </w:r>
      <w:r w:rsidRPr="74B6359C">
        <w:rPr>
          <w:rFonts w:ascii="Calibri" w:eastAsia="Calibri" w:hAnsi="Calibri" w:cs="Calibri"/>
          <w:color w:val="FF0000"/>
          <w:sz w:val="22"/>
          <w:szCs w:val="22"/>
          <w:highlight w:val="yellow"/>
          <w:lang w:val="es-ES"/>
        </w:rPr>
        <w:t>[cita de la dirección de su organización]</w:t>
      </w:r>
      <w:r w:rsidRPr="74B6359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15E81606" w14:textId="6D1D6858" w:rsidR="33FE4D0B" w:rsidRDefault="021DC2B1" w:rsidP="2C6ACF26">
      <w:pPr>
        <w:spacing w:before="195" w:after="195"/>
        <w:rPr>
          <w:rFonts w:ascii="Calibri" w:eastAsia="Calibri" w:hAnsi="Calibri" w:cs="Calibri"/>
          <w:sz w:val="22"/>
          <w:szCs w:val="22"/>
          <w:lang w:val="es-ES"/>
        </w:rPr>
      </w:pPr>
      <w:r w:rsidRPr="74B6359C">
        <w:rPr>
          <w:rFonts w:ascii="Calibri" w:eastAsia="Calibri" w:hAnsi="Calibri" w:cs="Calibri"/>
          <w:sz w:val="22"/>
          <w:szCs w:val="22"/>
          <w:lang w:val="es-ES"/>
        </w:rPr>
        <w:t>La última d</w:t>
      </w:r>
      <w:r w:rsidR="02551122" w:rsidRPr="74B6359C">
        <w:rPr>
          <w:rFonts w:ascii="Calibri" w:eastAsia="Calibri" w:hAnsi="Calibri" w:cs="Calibri"/>
          <w:sz w:val="22"/>
          <w:szCs w:val="22"/>
          <w:lang w:val="es-ES"/>
        </w:rPr>
        <w:t>écada se ha caracterizado como un</w:t>
      </w:r>
      <w:r w:rsidR="6A45D757" w:rsidRPr="74B6359C">
        <w:rPr>
          <w:rFonts w:ascii="Calibri" w:eastAsia="Calibri" w:hAnsi="Calibri" w:cs="Calibri"/>
          <w:sz w:val="22"/>
          <w:szCs w:val="22"/>
          <w:lang w:val="es-ES"/>
        </w:rPr>
        <w:t xml:space="preserve"> éxito pol</w:t>
      </w:r>
      <w:r w:rsidR="3D73F06B" w:rsidRPr="74B6359C">
        <w:rPr>
          <w:rFonts w:ascii="Calibri" w:eastAsia="Calibri" w:hAnsi="Calibri" w:cs="Calibri"/>
          <w:sz w:val="22"/>
          <w:szCs w:val="22"/>
          <w:lang w:val="es-ES"/>
        </w:rPr>
        <w:t>ítico pero un fracaso en su implementación.</w:t>
      </w:r>
      <w:r w:rsidR="7CC171AB" w:rsidRPr="74B6359C">
        <w:rPr>
          <w:rFonts w:ascii="Calibri" w:eastAsia="Calibri" w:hAnsi="Calibri" w:cs="Calibri"/>
          <w:sz w:val="22"/>
          <w:szCs w:val="22"/>
          <w:lang w:val="es-ES"/>
        </w:rPr>
        <w:t xml:space="preserve"> La cuarta Reunión de Alto Nivel de la ONU sobre ENT y Salud Mental (RAN4) debe cambiar esta situación</w:t>
      </w:r>
      <w:r w:rsidR="7CB647D3" w:rsidRPr="74B6359C">
        <w:rPr>
          <w:rFonts w:ascii="Calibri" w:eastAsia="Calibri" w:hAnsi="Calibri" w:cs="Calibri"/>
          <w:sz w:val="22"/>
          <w:szCs w:val="22"/>
          <w:lang w:val="es-ES"/>
        </w:rPr>
        <w:t>, renovando los compromisos por las políticas costo-efectivas que sabemos funcionan. La declaraci</w:t>
      </w:r>
      <w:r w:rsidR="1A9CFCAB" w:rsidRPr="74B6359C">
        <w:rPr>
          <w:rFonts w:ascii="Calibri" w:eastAsia="Calibri" w:hAnsi="Calibri" w:cs="Calibri"/>
          <w:sz w:val="22"/>
          <w:szCs w:val="22"/>
          <w:lang w:val="es-ES"/>
        </w:rPr>
        <w:t>ó</w:t>
      </w:r>
      <w:r w:rsidR="7CB647D3" w:rsidRPr="74B6359C">
        <w:rPr>
          <w:rFonts w:ascii="Calibri" w:eastAsia="Calibri" w:hAnsi="Calibri" w:cs="Calibri"/>
          <w:sz w:val="22"/>
          <w:szCs w:val="22"/>
          <w:lang w:val="es-ES"/>
        </w:rPr>
        <w:t>n borrador que será adoptada</w:t>
      </w:r>
      <w:r w:rsidR="1CC19490" w:rsidRPr="74B6359C">
        <w:rPr>
          <w:rFonts w:ascii="Calibri" w:eastAsia="Calibri" w:hAnsi="Calibri" w:cs="Calibri"/>
          <w:sz w:val="22"/>
          <w:szCs w:val="22"/>
          <w:lang w:val="es-ES"/>
        </w:rPr>
        <w:t xml:space="preserve"> en la RAN4 tras tres meses de negociaciones en Nueva York, da cuenta de que los gobiernos reconocen que la acción no puede esperar más. </w:t>
      </w:r>
      <w:r w:rsidR="7CC171AB" w:rsidRPr="74B6359C">
        <w:rPr>
          <w:rFonts w:ascii="Calibri" w:eastAsia="Calibri" w:hAnsi="Calibri" w:cs="Calibri"/>
          <w:sz w:val="22"/>
          <w:szCs w:val="22"/>
          <w:lang w:val="es-ES"/>
        </w:rPr>
        <w:t>Esto e</w:t>
      </w:r>
      <w:r w:rsidR="1B40308F" w:rsidRPr="74B6359C">
        <w:rPr>
          <w:rFonts w:ascii="Calibri" w:eastAsia="Calibri" w:hAnsi="Calibri" w:cs="Calibri"/>
          <w:sz w:val="22"/>
          <w:szCs w:val="22"/>
          <w:lang w:val="es-ES"/>
        </w:rPr>
        <w:t>s positivo, pero el mandato de la RAN4 fue claro: elaborar una Declaración concisa y orientada a la acción que se base en compromisos previos e impulse la voluntad política mediante objetivos y compromisos globales me</w:t>
      </w:r>
      <w:r w:rsidR="4A84E6D9" w:rsidRPr="74B6359C">
        <w:rPr>
          <w:rFonts w:ascii="Calibri" w:eastAsia="Calibri" w:hAnsi="Calibri" w:cs="Calibri"/>
          <w:sz w:val="22"/>
          <w:szCs w:val="22"/>
          <w:lang w:val="es-ES"/>
        </w:rPr>
        <w:t>d</w:t>
      </w:r>
      <w:r w:rsidR="4BE73736" w:rsidRPr="74B6359C">
        <w:rPr>
          <w:rFonts w:ascii="Calibri" w:eastAsia="Calibri" w:hAnsi="Calibri" w:cs="Calibri"/>
          <w:sz w:val="22"/>
          <w:szCs w:val="22"/>
          <w:lang w:val="es-ES"/>
        </w:rPr>
        <w:t>ibles.</w:t>
      </w:r>
    </w:p>
    <w:p w14:paraId="7B5CE824" w14:textId="75BBE889" w:rsidR="33FE4D0B" w:rsidRDefault="7D740934" w:rsidP="74B6359C">
      <w:pPr>
        <w:spacing w:before="195" w:after="195"/>
        <w:rPr>
          <w:rFonts w:ascii="Calibri" w:eastAsia="Calibri" w:hAnsi="Calibri" w:cs="Calibri"/>
          <w:sz w:val="22"/>
          <w:szCs w:val="22"/>
          <w:lang w:val="es-ES"/>
        </w:rPr>
      </w:pPr>
      <w:r w:rsidRPr="74B6359C">
        <w:rPr>
          <w:rFonts w:ascii="Calibri" w:eastAsia="Calibri" w:hAnsi="Calibri" w:cs="Calibri"/>
          <w:sz w:val="22"/>
          <w:szCs w:val="22"/>
          <w:lang w:val="es-ES"/>
        </w:rPr>
        <w:t xml:space="preserve">El borrador que se adoptará </w:t>
      </w:r>
      <w:r w:rsidR="1890A68A" w:rsidRPr="74B6359C">
        <w:rPr>
          <w:rFonts w:ascii="Calibri" w:eastAsia="Calibri" w:hAnsi="Calibri" w:cs="Calibri"/>
          <w:sz w:val="22"/>
          <w:szCs w:val="22"/>
          <w:lang w:val="es-ES"/>
        </w:rPr>
        <w:t>de cuenta de</w:t>
      </w:r>
      <w:r w:rsidRPr="74B6359C">
        <w:rPr>
          <w:rFonts w:ascii="Calibri" w:eastAsia="Calibri" w:hAnsi="Calibri" w:cs="Calibri"/>
          <w:sz w:val="22"/>
          <w:szCs w:val="22"/>
          <w:lang w:val="es-ES"/>
        </w:rPr>
        <w:t xml:space="preserve"> la urgencia, pero no cumple con los compromisos cruciales. Una de las omisiones más notables es </w:t>
      </w:r>
      <w:r w:rsidR="3FE16738" w:rsidRPr="74B6359C">
        <w:rPr>
          <w:rFonts w:ascii="Calibri" w:eastAsia="Calibri" w:hAnsi="Calibri" w:cs="Calibri"/>
          <w:sz w:val="22"/>
          <w:szCs w:val="22"/>
          <w:lang w:val="es-ES"/>
        </w:rPr>
        <w:t>un</w:t>
      </w:r>
      <w:r w:rsidRPr="74B6359C">
        <w:rPr>
          <w:rFonts w:ascii="Calibri" w:eastAsia="Calibri" w:hAnsi="Calibri" w:cs="Calibri"/>
          <w:sz w:val="22"/>
          <w:szCs w:val="22"/>
          <w:lang w:val="es-ES"/>
        </w:rPr>
        <w:t xml:space="preserve"> lenguaje contundente sobre </w:t>
      </w:r>
      <w:r w:rsidR="532CE787" w:rsidRPr="74B6359C">
        <w:rPr>
          <w:rFonts w:ascii="Calibri" w:eastAsia="Calibri" w:hAnsi="Calibri" w:cs="Calibri"/>
          <w:sz w:val="22"/>
          <w:szCs w:val="22"/>
          <w:lang w:val="es-ES"/>
        </w:rPr>
        <w:t xml:space="preserve">las </w:t>
      </w:r>
      <w:r w:rsidRPr="74B6359C">
        <w:rPr>
          <w:rFonts w:ascii="Calibri" w:eastAsia="Calibri" w:hAnsi="Calibri" w:cs="Calibri"/>
          <w:sz w:val="22"/>
          <w:szCs w:val="22"/>
          <w:lang w:val="es-ES"/>
        </w:rPr>
        <w:t>políticas fiscales que promueven la salud, como los impuestos al tabaco, el alcohol y las bebidas azucaradas, medidas comprobadas que salvan vidas y recaudan ingresos.</w:t>
      </w:r>
    </w:p>
    <w:p w14:paraId="51186556" w14:textId="33EFB63F" w:rsidR="33FE4D0B" w:rsidRDefault="7D740934" w:rsidP="2C6ACF26">
      <w:pPr>
        <w:spacing w:before="195" w:after="195"/>
        <w:rPr>
          <w:rFonts w:ascii="Calibri" w:eastAsia="Calibri" w:hAnsi="Calibri" w:cs="Calibri"/>
          <w:color w:val="FF0000"/>
          <w:sz w:val="22"/>
          <w:szCs w:val="22"/>
          <w:lang w:val="es-ES"/>
        </w:rPr>
      </w:pPr>
      <w:r w:rsidRPr="3D5E94E6">
        <w:rPr>
          <w:rFonts w:ascii="Calibri" w:eastAsia="Calibri" w:hAnsi="Calibri" w:cs="Calibri"/>
          <w:sz w:val="22"/>
          <w:szCs w:val="22"/>
          <w:lang w:val="es-ES"/>
        </w:rPr>
        <w:t>“En un momento en que la movilización de recursos nacionales es crucial</w:t>
      </w:r>
      <w:r w:rsidR="4E736EC7" w:rsidRPr="3D5E94E6">
        <w:rPr>
          <w:rFonts w:ascii="Calibri" w:eastAsia="Calibri" w:hAnsi="Calibri" w:cs="Calibri"/>
          <w:sz w:val="22"/>
          <w:szCs w:val="22"/>
          <w:lang w:val="es-ES"/>
        </w:rPr>
        <w:t xml:space="preserve"> para generar recursos a nivel nacional</w:t>
      </w:r>
      <w:r w:rsidRPr="3D5E94E6">
        <w:rPr>
          <w:rFonts w:ascii="Calibri" w:eastAsia="Calibri" w:hAnsi="Calibri" w:cs="Calibri"/>
          <w:sz w:val="22"/>
          <w:szCs w:val="22"/>
          <w:lang w:val="es-ES"/>
        </w:rPr>
        <w:t xml:space="preserve">, el borrador de la declaración desaprovecha una oportunidad vital para reforzar el lenguaje sobre los impuestos a la salud, políticas que pueden salvar vidas y recaudar ingresos”, afirmó </w:t>
      </w:r>
      <w:r w:rsidRPr="3D5E94E6">
        <w:rPr>
          <w:rFonts w:ascii="Calibri" w:eastAsia="Calibri" w:hAnsi="Calibri" w:cs="Calibri"/>
          <w:color w:val="FF0000"/>
          <w:sz w:val="22"/>
          <w:szCs w:val="22"/>
          <w:highlight w:val="yellow"/>
          <w:lang w:val="es-ES"/>
        </w:rPr>
        <w:t>[cita del liderazgo de su organización].</w:t>
      </w:r>
    </w:p>
    <w:p w14:paraId="51D1513D" w14:textId="6E4EA3C5" w:rsidR="33FE4D0B" w:rsidRDefault="7D740934" w:rsidP="2C6ACF26">
      <w:pPr>
        <w:spacing w:before="195" w:after="195"/>
        <w:rPr>
          <w:rFonts w:ascii="Calibri" w:eastAsia="Calibri" w:hAnsi="Calibri" w:cs="Calibri"/>
          <w:sz w:val="22"/>
          <w:szCs w:val="22"/>
          <w:lang w:val="es-ES"/>
        </w:rPr>
      </w:pPr>
      <w:r w:rsidRPr="74B6359C">
        <w:rPr>
          <w:rFonts w:ascii="Calibri" w:eastAsia="Calibri" w:hAnsi="Calibri" w:cs="Calibri"/>
          <w:sz w:val="22"/>
          <w:szCs w:val="22"/>
          <w:lang w:val="es-ES"/>
        </w:rPr>
        <w:t xml:space="preserve">“Los gobiernos se han comprometido con objetivos de protección financiera destinados a reducir la devastadora carga de los gastos directos </w:t>
      </w:r>
      <w:r w:rsidR="3AF143FF" w:rsidRPr="74B6359C">
        <w:rPr>
          <w:rFonts w:ascii="Calibri" w:eastAsia="Calibri" w:hAnsi="Calibri" w:cs="Calibri"/>
          <w:sz w:val="22"/>
          <w:szCs w:val="22"/>
          <w:lang w:val="es-ES"/>
        </w:rPr>
        <w:t xml:space="preserve">para medicinas y tratamientos </w:t>
      </w:r>
      <w:r w:rsidRPr="74B6359C">
        <w:rPr>
          <w:rFonts w:ascii="Calibri" w:eastAsia="Calibri" w:hAnsi="Calibri" w:cs="Calibri"/>
          <w:sz w:val="22"/>
          <w:szCs w:val="22"/>
          <w:lang w:val="es-ES"/>
        </w:rPr>
        <w:t xml:space="preserve">que empujan a millones de personas a la pobreza extrema cada año. Esto marca un paso adelante”, afirmó </w:t>
      </w:r>
      <w:r w:rsidRPr="74B6359C">
        <w:rPr>
          <w:rFonts w:ascii="Calibri" w:eastAsia="Calibri" w:hAnsi="Calibri" w:cs="Calibri"/>
          <w:color w:val="FF0000"/>
          <w:sz w:val="22"/>
          <w:szCs w:val="22"/>
          <w:highlight w:val="yellow"/>
          <w:lang w:val="es-ES"/>
        </w:rPr>
        <w:t>[cita del liderazgo de su organización].</w:t>
      </w:r>
    </w:p>
    <w:p w14:paraId="0EF17CFB" w14:textId="55EF309A" w:rsidR="33FE4D0B" w:rsidRDefault="7D740934" w:rsidP="3D5E94E6">
      <w:pPr>
        <w:spacing w:before="195" w:after="195"/>
        <w:rPr>
          <w:rFonts w:ascii="Calibri" w:eastAsia="Calibri" w:hAnsi="Calibri" w:cs="Calibri"/>
          <w:sz w:val="22"/>
          <w:szCs w:val="22"/>
          <w:lang w:val="es-ES"/>
        </w:rPr>
      </w:pPr>
      <w:r w:rsidRPr="3D5E94E6">
        <w:rPr>
          <w:rFonts w:ascii="Calibri" w:eastAsia="Calibri" w:hAnsi="Calibri" w:cs="Calibri"/>
          <w:sz w:val="22"/>
          <w:szCs w:val="22"/>
          <w:lang w:val="es-ES"/>
        </w:rPr>
        <w:t xml:space="preserve">La sociedad civil </w:t>
      </w:r>
      <w:r w:rsidR="21CD16A0" w:rsidRPr="3D5E94E6">
        <w:rPr>
          <w:rFonts w:ascii="Calibri" w:eastAsia="Calibri" w:hAnsi="Calibri" w:cs="Calibri"/>
          <w:sz w:val="22"/>
          <w:szCs w:val="22"/>
          <w:lang w:val="es-ES"/>
        </w:rPr>
        <w:t xml:space="preserve">recibe </w:t>
      </w:r>
      <w:r w:rsidRPr="3D5E94E6">
        <w:rPr>
          <w:rFonts w:ascii="Calibri" w:eastAsia="Calibri" w:hAnsi="Calibri" w:cs="Calibri"/>
          <w:sz w:val="22"/>
          <w:szCs w:val="22"/>
          <w:lang w:val="es-ES"/>
        </w:rPr>
        <w:t xml:space="preserve">con satisfacción la referencia a la experiencia vivida; sin embargo, el borrador solo la menciona una vez. La participación significativa y estructurada de las personas que viven con ENT, sus comunidades y organizaciones debe integrarse en el diseño y la ejecución de las políticas para garantizar un impacto a todos los niveles. «En esta coyuntura crítica, la sociedad civil y las personas que viven con ENT en todo el mundo hablan con una sola voz: </w:t>
      </w:r>
      <w:r w:rsidR="677991B9" w:rsidRPr="3D5E94E6">
        <w:rPr>
          <w:rFonts w:ascii="Calibri" w:eastAsia="Calibri" w:hAnsi="Calibri" w:cs="Calibri"/>
          <w:sz w:val="22"/>
          <w:szCs w:val="22"/>
          <w:lang w:val="es-ES"/>
        </w:rPr>
        <w:t>“</w:t>
      </w:r>
      <w:r w:rsidRPr="3D5E94E6">
        <w:rPr>
          <w:rFonts w:ascii="Calibri" w:eastAsia="Calibri" w:hAnsi="Calibri" w:cs="Calibri"/>
          <w:sz w:val="22"/>
          <w:szCs w:val="22"/>
          <w:lang w:val="es-ES"/>
        </w:rPr>
        <w:t>Nada sobre nosotros, sin nosotros. Es hora de liderazgo, financiación y rendición de cuentas</w:t>
      </w:r>
      <w:r w:rsidR="2E64C45D" w:rsidRPr="3D5E94E6">
        <w:rPr>
          <w:rFonts w:ascii="Calibri" w:eastAsia="Calibri" w:hAnsi="Calibri" w:cs="Calibri"/>
          <w:sz w:val="22"/>
          <w:szCs w:val="22"/>
          <w:lang w:val="es-ES"/>
        </w:rPr>
        <w:t>”</w:t>
      </w:r>
      <w:r w:rsidRPr="3D5E94E6">
        <w:rPr>
          <w:rFonts w:ascii="Calibri" w:eastAsia="Calibri" w:hAnsi="Calibri" w:cs="Calibri"/>
          <w:sz w:val="22"/>
          <w:szCs w:val="22"/>
          <w:lang w:val="es-ES"/>
        </w:rPr>
        <w:t xml:space="preserve">, afirmó </w:t>
      </w:r>
      <w:r w:rsidRPr="3D5E94E6">
        <w:rPr>
          <w:rFonts w:ascii="Calibri" w:eastAsia="Calibri" w:hAnsi="Calibri" w:cs="Calibri"/>
          <w:color w:val="FF0000"/>
          <w:sz w:val="22"/>
          <w:szCs w:val="22"/>
          <w:highlight w:val="yellow"/>
          <w:lang w:val="es-ES"/>
        </w:rPr>
        <w:t>[cita del liderazgo de su organización].</w:t>
      </w:r>
    </w:p>
    <w:p w14:paraId="322CF772" w14:textId="3E602618" w:rsidR="33FE4D0B" w:rsidRDefault="486D2645" w:rsidP="2C6ACF26">
      <w:pPr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</w:pPr>
      <w:r w:rsidRPr="2C6ACF26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Con el respaldo de más de 3 millones de voces de más de 115 países, los y las defensores/as de la salud mundial instan a los gobiernos a invertir en soluciones rentables, cumplir con sus compromisos y priorizar a las personas. La campaña </w:t>
      </w:r>
      <w:hyperlink r:id="rId8">
        <w:r w:rsidRPr="2C6ACF26">
          <w:rPr>
            <w:rStyle w:val="Hipervnculo"/>
            <w:rFonts w:ascii="Calibri" w:eastAsia="Calibri" w:hAnsi="Calibri" w:cs="Calibri"/>
            <w:sz w:val="22"/>
            <w:szCs w:val="22"/>
            <w:lang w:val="es"/>
          </w:rPr>
          <w:t>"Tiempo de Liderar"</w:t>
        </w:r>
      </w:hyperlink>
      <w:r w:rsidRPr="2C6ACF26">
        <w:rPr>
          <w:rFonts w:ascii="Calibri" w:eastAsia="Calibri" w:hAnsi="Calibri" w:cs="Calibri"/>
          <w:sz w:val="22"/>
          <w:szCs w:val="22"/>
          <w:lang w:val="es"/>
        </w:rPr>
        <w:t>,</w:t>
      </w:r>
      <w:r w:rsidRPr="2C6ACF26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 parte de la Semana Mundial de Acción sobre las ENT (18-25 de septiembre), eleva las voces de la sociedad civil en vísperas de la RAN4, exigiendo un liderazgo decidido de los gobiernos y acciones para combatir las principales causas de muerte en el mundo.</w:t>
      </w:r>
    </w:p>
    <w:p w14:paraId="706276AC" w14:textId="6609B667" w:rsidR="33FE4D0B" w:rsidRDefault="486D2645" w:rsidP="2C6ACF26">
      <w:pPr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</w:pPr>
      <w:r w:rsidRPr="2C6ACF26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 </w:t>
      </w:r>
    </w:p>
    <w:p w14:paraId="24852DF9" w14:textId="72DF3C93" w:rsidR="33FE4D0B" w:rsidRDefault="486D2645" w:rsidP="2C6ACF26">
      <w:pPr>
        <w:rPr>
          <w:rFonts w:ascii="Calibri" w:eastAsia="Calibri" w:hAnsi="Calibri" w:cs="Calibri"/>
          <w:color w:val="FF0000"/>
          <w:sz w:val="22"/>
          <w:szCs w:val="22"/>
          <w:highlight w:val="yellow"/>
          <w:lang w:val="es"/>
        </w:rPr>
      </w:pPr>
      <w:r w:rsidRPr="2C6ACF26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Cada año, </w:t>
      </w:r>
      <w:hyperlink r:id="rId9">
        <w:r w:rsidRPr="2C6ACF26">
          <w:rPr>
            <w:rStyle w:val="Hipervnculo"/>
            <w:rFonts w:ascii="Calibri" w:eastAsia="Calibri" w:hAnsi="Calibri" w:cs="Calibri"/>
            <w:sz w:val="22"/>
            <w:szCs w:val="22"/>
            <w:lang w:val="es"/>
          </w:rPr>
          <w:t>43 millones</w:t>
        </w:r>
      </w:hyperlink>
      <w:r w:rsidRPr="2C6ACF26">
        <w:rPr>
          <w:rFonts w:ascii="Calibri" w:eastAsia="Calibri" w:hAnsi="Calibri" w:cs="Calibri"/>
          <w:sz w:val="22"/>
          <w:szCs w:val="22"/>
          <w:lang w:val="es"/>
        </w:rPr>
        <w:t xml:space="preserve"> </w:t>
      </w:r>
      <w:r w:rsidRPr="2C6ACF26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de personas mueren a causa de las ENT. Estas enfermedades, que incluyen cardiopatías, cáncer, diabetes, enfermedades respiratorias crónicas y problemas de salud mental, representan </w:t>
      </w:r>
      <w:hyperlink r:id="rId10">
        <w:r w:rsidRPr="2C6ACF26">
          <w:rPr>
            <w:rStyle w:val="Hipervnculo"/>
            <w:rFonts w:ascii="Calibri" w:eastAsia="Calibri" w:hAnsi="Calibri" w:cs="Calibri"/>
            <w:sz w:val="22"/>
            <w:szCs w:val="22"/>
            <w:lang w:val="es"/>
          </w:rPr>
          <w:t>más del 75 % de las muertes en todo el mundo</w:t>
        </w:r>
      </w:hyperlink>
      <w:r w:rsidRPr="2C6ACF26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. A pesar de su prevalencia, las ENT son el problema de salud mundial </w:t>
      </w:r>
      <w:hyperlink r:id="rId11">
        <w:r w:rsidRPr="2C6ACF26">
          <w:rPr>
            <w:rStyle w:val="Hipervnculo"/>
            <w:rFonts w:ascii="Calibri" w:eastAsia="Calibri" w:hAnsi="Calibri" w:cs="Calibri"/>
            <w:sz w:val="22"/>
            <w:szCs w:val="22"/>
            <w:lang w:val="es"/>
          </w:rPr>
          <w:t>con menor financiación</w:t>
        </w:r>
      </w:hyperlink>
      <w:r w:rsidRPr="2C6ACF26">
        <w:rPr>
          <w:rFonts w:ascii="Calibri" w:eastAsia="Calibri" w:hAnsi="Calibri" w:cs="Calibri"/>
          <w:sz w:val="22"/>
          <w:szCs w:val="22"/>
          <w:lang w:val="es"/>
        </w:rPr>
        <w:t xml:space="preserve"> </w:t>
      </w:r>
      <w:r w:rsidRPr="2C6ACF26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en comparación con los miles de millones de personas afectadas. </w:t>
      </w:r>
      <w:r w:rsidRPr="2C6ACF26">
        <w:rPr>
          <w:rFonts w:ascii="Calibri" w:eastAsia="Calibri" w:hAnsi="Calibri" w:cs="Calibri"/>
          <w:color w:val="FF0000"/>
          <w:sz w:val="22"/>
          <w:szCs w:val="22"/>
          <w:highlight w:val="yellow"/>
          <w:lang w:val="es"/>
        </w:rPr>
        <w:t>[Considere agregar sus estadísticas locales].</w:t>
      </w:r>
    </w:p>
    <w:p w14:paraId="5301829E" w14:textId="168FFEFF" w:rsidR="33FE4D0B" w:rsidRDefault="486D2645" w:rsidP="2C6ACF26">
      <w:pPr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</w:pPr>
      <w:r w:rsidRPr="2C6ACF26">
        <w:rPr>
          <w:rFonts w:ascii="Calibri" w:eastAsia="Calibri" w:hAnsi="Calibri" w:cs="Calibri"/>
          <w:color w:val="000000" w:themeColor="text1"/>
          <w:sz w:val="22"/>
          <w:szCs w:val="22"/>
          <w:lang w:val="es"/>
        </w:rPr>
        <w:t xml:space="preserve"> </w:t>
      </w:r>
    </w:p>
    <w:p w14:paraId="6C17730E" w14:textId="1CAD392D" w:rsidR="33FE4D0B" w:rsidRDefault="486D2645" w:rsidP="2C6ACF26">
      <w:pPr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</w:pPr>
      <w:hyperlink r:id="rId12">
        <w:r w:rsidRPr="2C6ACF26">
          <w:rPr>
            <w:rStyle w:val="Hipervnculo"/>
            <w:rFonts w:ascii="Calibri" w:eastAsia="Calibri" w:hAnsi="Calibri" w:cs="Calibri"/>
            <w:sz w:val="22"/>
            <w:szCs w:val="22"/>
            <w:lang w:val="es-ES"/>
          </w:rPr>
          <w:t>Las ENT afectan a todas las personas, en todas partes</w:t>
        </w:r>
      </w:hyperlink>
      <w:r w:rsidRPr="2C6ACF26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, pero lo hacen de forma desproporcionada a aquellas que viven en países de ingresos bajos y medianos (PIBM), donde el acceso a la atención médica es limitado. Entre las personas que habitan en PIBM, las ENT y las lesiones matan a más personas menores de 40 años que el </w:t>
      </w:r>
      <w:hyperlink r:id="rId13">
        <w:r w:rsidRPr="2C6ACF26">
          <w:rPr>
            <w:rStyle w:val="Hipervnculo"/>
            <w:rFonts w:ascii="Calibri" w:eastAsia="Calibri" w:hAnsi="Calibri" w:cs="Calibri"/>
            <w:sz w:val="22"/>
            <w:szCs w:val="22"/>
            <w:lang w:val="es-ES"/>
          </w:rPr>
          <w:t>VIH, la tuberculosis y las muertes maternas juntas.</w:t>
        </w:r>
      </w:hyperlink>
    </w:p>
    <w:p w14:paraId="6B3446B0" w14:textId="120EAC1A" w:rsidR="33FE4D0B" w:rsidRPr="007343B0" w:rsidRDefault="33FE4D0B" w:rsidP="30561774">
      <w:pPr>
        <w:pStyle w:val="paragraph"/>
        <w:spacing w:before="0" w:beforeAutospacing="0" w:after="0" w:afterAutospacing="0"/>
        <w:rPr>
          <w:rStyle w:val="Textoennegrita"/>
          <w:rFonts w:ascii="Segoe UI" w:hAnsi="Segoe UI" w:cs="Segoe UI"/>
          <w:b w:val="0"/>
          <w:bCs w:val="0"/>
          <w:sz w:val="18"/>
          <w:szCs w:val="18"/>
          <w:lang w:val="es-ES"/>
        </w:rPr>
      </w:pPr>
      <w:r w:rsidRPr="007343B0">
        <w:rPr>
          <w:lang w:val="es-ES"/>
        </w:rPr>
        <w:br/>
      </w:r>
      <w:r w:rsidRPr="007343B0">
        <w:rPr>
          <w:lang w:val="es-ES"/>
        </w:rPr>
        <w:br/>
      </w:r>
      <w:r w:rsidR="6A09F7BC" w:rsidRPr="007343B0">
        <w:rPr>
          <w:rFonts w:ascii="Calibri" w:hAnsi="Calibri" w:cs="Calibri"/>
          <w:color w:val="202020"/>
          <w:sz w:val="22"/>
          <w:szCs w:val="22"/>
          <w:lang w:val="es-ES"/>
        </w:rPr>
        <w:t>***</w:t>
      </w:r>
      <w:r w:rsidR="5B750C9B" w:rsidRPr="007343B0">
        <w:rPr>
          <w:rFonts w:ascii="Calibri" w:hAnsi="Calibri" w:cs="Calibri"/>
          <w:color w:val="202020"/>
          <w:sz w:val="22"/>
          <w:szCs w:val="22"/>
          <w:lang w:val="es-ES"/>
        </w:rPr>
        <w:t>FINAL</w:t>
      </w:r>
      <w:r w:rsidR="6A09F7BC" w:rsidRPr="007343B0">
        <w:rPr>
          <w:rFonts w:ascii="Calibri" w:hAnsi="Calibri" w:cs="Calibri"/>
          <w:color w:val="202020"/>
          <w:sz w:val="22"/>
          <w:szCs w:val="22"/>
          <w:lang w:val="es-ES"/>
        </w:rPr>
        <w:t>***</w:t>
      </w:r>
      <w:r w:rsidRPr="007343B0">
        <w:rPr>
          <w:lang w:val="es-ES"/>
        </w:rPr>
        <w:br/>
      </w:r>
    </w:p>
    <w:p w14:paraId="100702CF" w14:textId="14EF2C6C" w:rsidR="0AE5CDED" w:rsidRPr="007343B0" w:rsidRDefault="0AE5CDED" w:rsidP="30561774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b/>
          <w:bCs/>
          <w:sz w:val="18"/>
          <w:szCs w:val="18"/>
          <w:lang w:val="es-ES"/>
        </w:rPr>
      </w:pPr>
      <w:r w:rsidRPr="007343B0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s-ES"/>
        </w:rPr>
        <w:t>Más informació</w:t>
      </w:r>
      <w:r w:rsidR="33FE4D0B" w:rsidRPr="007343B0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s-ES"/>
        </w:rPr>
        <w:t>n: </w:t>
      </w:r>
      <w:r w:rsidR="33FE4D0B" w:rsidRPr="007343B0">
        <w:rPr>
          <w:rStyle w:val="eop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s-ES"/>
        </w:rPr>
        <w:t> </w:t>
      </w:r>
    </w:p>
    <w:p w14:paraId="3A909BB8" w14:textId="08AF6BC9" w:rsidR="33FE4D0B" w:rsidRPr="007343B0" w:rsidRDefault="5B071792" w:rsidP="5806773B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  <w:lang w:val="es-ES"/>
        </w:rPr>
      </w:pPr>
      <w:r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>[</w:t>
      </w:r>
      <w:r w:rsidR="42FD8227"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>añadir información de contacto de prensa de su organización</w:t>
      </w:r>
      <w:r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>]</w:t>
      </w:r>
      <w:r w:rsidRPr="007343B0">
        <w:rPr>
          <w:rStyle w:val="eop"/>
          <w:rFonts w:ascii="Calibri" w:eastAsiaTheme="majorEastAsia" w:hAnsi="Calibri" w:cs="Calibri"/>
          <w:color w:val="FF0000"/>
          <w:sz w:val="22"/>
          <w:szCs w:val="22"/>
          <w:lang w:val="es-ES"/>
        </w:rPr>
        <w:t> </w:t>
      </w:r>
    </w:p>
    <w:p w14:paraId="2CA7EF92" w14:textId="3FFFB018" w:rsidR="33FE4D0B" w:rsidRPr="007343B0" w:rsidRDefault="33FE4D0B" w:rsidP="30561774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  <w:lang w:val="es-ES"/>
        </w:rPr>
      </w:pPr>
      <w:r w:rsidRPr="007343B0">
        <w:rPr>
          <w:rStyle w:val="eop"/>
          <w:rFonts w:ascii="Calibri" w:eastAsiaTheme="majorEastAsia" w:hAnsi="Calibri" w:cs="Calibri"/>
          <w:sz w:val="22"/>
          <w:szCs w:val="22"/>
          <w:lang w:val="es-ES"/>
        </w:rPr>
        <w:t> </w:t>
      </w:r>
    </w:p>
    <w:p w14:paraId="05AD15A0" w14:textId="06DD30A7" w:rsidR="30561774" w:rsidRPr="007343B0" w:rsidRDefault="4333E783" w:rsidP="30561774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sz w:val="18"/>
          <w:szCs w:val="18"/>
          <w:lang w:val="es-ES"/>
        </w:rPr>
      </w:pPr>
      <w:r w:rsidRPr="007343B0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s-ES"/>
        </w:rPr>
        <w:t>Acerca de</w:t>
      </w:r>
      <w:r w:rsidR="6A09F7BC" w:rsidRPr="007343B0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s-ES"/>
        </w:rPr>
        <w:t xml:space="preserve"> </w:t>
      </w:r>
      <w:r w:rsidR="6A09F7BC"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>[br</w:t>
      </w:r>
      <w:r w:rsidR="79A3FEC3"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 xml:space="preserve">eve </w:t>
      </w:r>
      <w:r w:rsidR="6A09F7BC"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>descrip</w:t>
      </w:r>
      <w:r w:rsidR="3126735E"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>c</w:t>
      </w:r>
      <w:r w:rsidR="6A09F7BC"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>i</w:t>
      </w:r>
      <w:r w:rsidR="3FF72A0A"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>ó</w:t>
      </w:r>
      <w:r w:rsidR="6A09F7BC"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 xml:space="preserve">n </w:t>
      </w:r>
      <w:r w:rsidR="18A79B00" w:rsidRPr="007343B0">
        <w:rPr>
          <w:rStyle w:val="normaltextrun"/>
          <w:rFonts w:ascii="Calibri" w:eastAsiaTheme="majorEastAsia" w:hAnsi="Calibri" w:cs="Calibri"/>
          <w:color w:val="FF0000"/>
          <w:sz w:val="22"/>
          <w:szCs w:val="22"/>
          <w:lang w:val="es-ES"/>
        </w:rPr>
        <w:t>de su organización]</w:t>
      </w:r>
      <w:r w:rsidR="18A79B00" w:rsidRPr="007343B0">
        <w:rPr>
          <w:rStyle w:val="eop"/>
          <w:rFonts w:ascii="Calibri" w:eastAsiaTheme="majorEastAsia" w:hAnsi="Calibri" w:cs="Calibri"/>
          <w:color w:val="FF0000"/>
          <w:sz w:val="22"/>
          <w:szCs w:val="22"/>
          <w:lang w:val="es-ES"/>
        </w:rPr>
        <w:t> </w:t>
      </w:r>
      <w:r w:rsidR="6A09F7BC" w:rsidRPr="007343B0">
        <w:rPr>
          <w:rStyle w:val="eop"/>
          <w:rFonts w:ascii="Calibri" w:eastAsiaTheme="majorEastAsia" w:hAnsi="Calibri" w:cs="Calibri"/>
          <w:color w:val="FF0000"/>
          <w:sz w:val="22"/>
          <w:szCs w:val="22"/>
          <w:lang w:val="es-ES"/>
        </w:rPr>
        <w:t> </w:t>
      </w:r>
    </w:p>
    <w:sectPr w:rsidR="30561774" w:rsidRPr="007343B0" w:rsidSect="00752C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Ux26Z9pW">
      <int2:state int2:value="Rejected" int2:type="spell"/>
    </int2:textHash>
    <int2:textHash int2:hashCode="SlYFDncvjWIs3o" int2:id="VcyyiX4v">
      <int2:state int2:value="Rejected" int2:type="spell"/>
    </int2:textHash>
    <int2:textHash int2:hashCode="1bIXuXHoVB9KIC" int2:id="iIkOx3RM">
      <int2:state int2:value="Rejected" int2:type="spell"/>
    </int2:textHash>
    <int2:textHash int2:hashCode="HEXtz+T4PyFSoL" int2:id="vCttDiWL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35B4B"/>
    <w:multiLevelType w:val="hybridMultilevel"/>
    <w:tmpl w:val="B6D4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6DE3"/>
    <w:multiLevelType w:val="hybridMultilevel"/>
    <w:tmpl w:val="FFFFFFFF"/>
    <w:lvl w:ilvl="0" w:tplc="F5EE307A">
      <w:start w:val="1"/>
      <w:numFmt w:val="decimal"/>
      <w:lvlText w:val="(%1)"/>
      <w:lvlJc w:val="left"/>
      <w:pPr>
        <w:ind w:left="720" w:hanging="360"/>
      </w:pPr>
    </w:lvl>
    <w:lvl w:ilvl="1" w:tplc="40EAB572">
      <w:start w:val="1"/>
      <w:numFmt w:val="lowerLetter"/>
      <w:lvlText w:val="%2."/>
      <w:lvlJc w:val="left"/>
      <w:pPr>
        <w:ind w:left="1440" w:hanging="360"/>
      </w:pPr>
    </w:lvl>
    <w:lvl w:ilvl="2" w:tplc="48CE89E8">
      <w:start w:val="1"/>
      <w:numFmt w:val="lowerRoman"/>
      <w:lvlText w:val="%3."/>
      <w:lvlJc w:val="right"/>
      <w:pPr>
        <w:ind w:left="2160" w:hanging="180"/>
      </w:pPr>
    </w:lvl>
    <w:lvl w:ilvl="3" w:tplc="15BAE010">
      <w:start w:val="1"/>
      <w:numFmt w:val="decimal"/>
      <w:lvlText w:val="%4."/>
      <w:lvlJc w:val="left"/>
      <w:pPr>
        <w:ind w:left="2880" w:hanging="360"/>
      </w:pPr>
    </w:lvl>
    <w:lvl w:ilvl="4" w:tplc="6D90A53C">
      <w:start w:val="1"/>
      <w:numFmt w:val="lowerLetter"/>
      <w:lvlText w:val="%5."/>
      <w:lvlJc w:val="left"/>
      <w:pPr>
        <w:ind w:left="3600" w:hanging="360"/>
      </w:pPr>
    </w:lvl>
    <w:lvl w:ilvl="5" w:tplc="8AD2FB4E">
      <w:start w:val="1"/>
      <w:numFmt w:val="lowerRoman"/>
      <w:lvlText w:val="%6."/>
      <w:lvlJc w:val="right"/>
      <w:pPr>
        <w:ind w:left="4320" w:hanging="180"/>
      </w:pPr>
    </w:lvl>
    <w:lvl w:ilvl="6" w:tplc="96E4434E">
      <w:start w:val="1"/>
      <w:numFmt w:val="decimal"/>
      <w:lvlText w:val="%7."/>
      <w:lvlJc w:val="left"/>
      <w:pPr>
        <w:ind w:left="5040" w:hanging="360"/>
      </w:pPr>
    </w:lvl>
    <w:lvl w:ilvl="7" w:tplc="760E66D4">
      <w:start w:val="1"/>
      <w:numFmt w:val="lowerLetter"/>
      <w:lvlText w:val="%8."/>
      <w:lvlJc w:val="left"/>
      <w:pPr>
        <w:ind w:left="5760" w:hanging="360"/>
      </w:pPr>
    </w:lvl>
    <w:lvl w:ilvl="8" w:tplc="3B384A10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6461">
    <w:abstractNumId w:val="1"/>
  </w:num>
  <w:num w:numId="2" w16cid:durableId="126792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89"/>
    <w:rsid w:val="00055D33"/>
    <w:rsid w:val="000752BC"/>
    <w:rsid w:val="0008694C"/>
    <w:rsid w:val="00090B49"/>
    <w:rsid w:val="000944FB"/>
    <w:rsid w:val="00095E51"/>
    <w:rsid w:val="000B49E8"/>
    <w:rsid w:val="000B4E7A"/>
    <w:rsid w:val="000D34E4"/>
    <w:rsid w:val="000E495A"/>
    <w:rsid w:val="00164DDB"/>
    <w:rsid w:val="00171A33"/>
    <w:rsid w:val="001726D9"/>
    <w:rsid w:val="00176D7D"/>
    <w:rsid w:val="001C3676"/>
    <w:rsid w:val="001F4456"/>
    <w:rsid w:val="00201235"/>
    <w:rsid w:val="00205451"/>
    <w:rsid w:val="00210357"/>
    <w:rsid w:val="0022539E"/>
    <w:rsid w:val="00245E40"/>
    <w:rsid w:val="00246F28"/>
    <w:rsid w:val="00273262"/>
    <w:rsid w:val="00291CFC"/>
    <w:rsid w:val="002D6293"/>
    <w:rsid w:val="002D7C2B"/>
    <w:rsid w:val="002E55D4"/>
    <w:rsid w:val="002F6373"/>
    <w:rsid w:val="00340A38"/>
    <w:rsid w:val="003414C7"/>
    <w:rsid w:val="00361133"/>
    <w:rsid w:val="00366E75"/>
    <w:rsid w:val="00377125"/>
    <w:rsid w:val="003B3F27"/>
    <w:rsid w:val="003D4993"/>
    <w:rsid w:val="003F08B4"/>
    <w:rsid w:val="004257F7"/>
    <w:rsid w:val="00433292"/>
    <w:rsid w:val="00435F8F"/>
    <w:rsid w:val="00441F91"/>
    <w:rsid w:val="00452BAF"/>
    <w:rsid w:val="00471584"/>
    <w:rsid w:val="004D1D39"/>
    <w:rsid w:val="00527BE5"/>
    <w:rsid w:val="00544E68"/>
    <w:rsid w:val="00570484"/>
    <w:rsid w:val="00571861"/>
    <w:rsid w:val="00586269"/>
    <w:rsid w:val="00624289"/>
    <w:rsid w:val="00674B6A"/>
    <w:rsid w:val="007343B0"/>
    <w:rsid w:val="00752CF1"/>
    <w:rsid w:val="007A4B2F"/>
    <w:rsid w:val="007B28D1"/>
    <w:rsid w:val="007B78C4"/>
    <w:rsid w:val="007C7882"/>
    <w:rsid w:val="0081090E"/>
    <w:rsid w:val="008701CF"/>
    <w:rsid w:val="00882A39"/>
    <w:rsid w:val="008834A8"/>
    <w:rsid w:val="00887842"/>
    <w:rsid w:val="00891709"/>
    <w:rsid w:val="0089703A"/>
    <w:rsid w:val="008C1A68"/>
    <w:rsid w:val="008C386A"/>
    <w:rsid w:val="0090397B"/>
    <w:rsid w:val="00912430"/>
    <w:rsid w:val="0091371D"/>
    <w:rsid w:val="00917B63"/>
    <w:rsid w:val="009A19CA"/>
    <w:rsid w:val="009C637F"/>
    <w:rsid w:val="009D18EF"/>
    <w:rsid w:val="009D328F"/>
    <w:rsid w:val="009E429A"/>
    <w:rsid w:val="00A24FF9"/>
    <w:rsid w:val="00A44408"/>
    <w:rsid w:val="00A6688A"/>
    <w:rsid w:val="00A8416A"/>
    <w:rsid w:val="00A9169E"/>
    <w:rsid w:val="00A937DE"/>
    <w:rsid w:val="00AC43F4"/>
    <w:rsid w:val="00AC5F12"/>
    <w:rsid w:val="00B55650"/>
    <w:rsid w:val="00B57986"/>
    <w:rsid w:val="00B65EB1"/>
    <w:rsid w:val="00B81633"/>
    <w:rsid w:val="00B85093"/>
    <w:rsid w:val="00BA0F4C"/>
    <w:rsid w:val="00BF0437"/>
    <w:rsid w:val="00BF5F96"/>
    <w:rsid w:val="00C1176F"/>
    <w:rsid w:val="00C40D67"/>
    <w:rsid w:val="00C53DC8"/>
    <w:rsid w:val="00C6CCFE"/>
    <w:rsid w:val="00CB7601"/>
    <w:rsid w:val="00CC3FF1"/>
    <w:rsid w:val="00CD4D28"/>
    <w:rsid w:val="00CE07C2"/>
    <w:rsid w:val="00CF5601"/>
    <w:rsid w:val="00D25C2D"/>
    <w:rsid w:val="00D77C05"/>
    <w:rsid w:val="00DA061F"/>
    <w:rsid w:val="00DA590E"/>
    <w:rsid w:val="00DA78B7"/>
    <w:rsid w:val="00E06B59"/>
    <w:rsid w:val="00E503EC"/>
    <w:rsid w:val="00E74BD6"/>
    <w:rsid w:val="00E82C9C"/>
    <w:rsid w:val="00EA30D5"/>
    <w:rsid w:val="00EA4F85"/>
    <w:rsid w:val="00EC5C32"/>
    <w:rsid w:val="00F23879"/>
    <w:rsid w:val="00F31AA4"/>
    <w:rsid w:val="00F5507A"/>
    <w:rsid w:val="00F92AA9"/>
    <w:rsid w:val="00FA1F87"/>
    <w:rsid w:val="00FD6534"/>
    <w:rsid w:val="00FF5836"/>
    <w:rsid w:val="01353805"/>
    <w:rsid w:val="01B08831"/>
    <w:rsid w:val="021C158F"/>
    <w:rsid w:val="021DC2B1"/>
    <w:rsid w:val="022935EE"/>
    <w:rsid w:val="02551122"/>
    <w:rsid w:val="0312B45A"/>
    <w:rsid w:val="034012C8"/>
    <w:rsid w:val="03D89BAC"/>
    <w:rsid w:val="03DF5D88"/>
    <w:rsid w:val="056A08F1"/>
    <w:rsid w:val="067A1A17"/>
    <w:rsid w:val="06B99DF3"/>
    <w:rsid w:val="06F800B5"/>
    <w:rsid w:val="071A7655"/>
    <w:rsid w:val="0750BAB1"/>
    <w:rsid w:val="075DB3DC"/>
    <w:rsid w:val="07793D91"/>
    <w:rsid w:val="078BB499"/>
    <w:rsid w:val="07E15653"/>
    <w:rsid w:val="082F241D"/>
    <w:rsid w:val="08546B86"/>
    <w:rsid w:val="0859726A"/>
    <w:rsid w:val="08C771D5"/>
    <w:rsid w:val="08CBF225"/>
    <w:rsid w:val="08CE8FEA"/>
    <w:rsid w:val="09D162F5"/>
    <w:rsid w:val="0A51E699"/>
    <w:rsid w:val="0A9DEA87"/>
    <w:rsid w:val="0ABE17D1"/>
    <w:rsid w:val="0AE5CDED"/>
    <w:rsid w:val="0B029477"/>
    <w:rsid w:val="0B0DF567"/>
    <w:rsid w:val="0BF85430"/>
    <w:rsid w:val="0DD403D0"/>
    <w:rsid w:val="0DF76577"/>
    <w:rsid w:val="0E91A079"/>
    <w:rsid w:val="0F11B9D2"/>
    <w:rsid w:val="0F4CFDCC"/>
    <w:rsid w:val="103CC781"/>
    <w:rsid w:val="104610E4"/>
    <w:rsid w:val="10A81E6D"/>
    <w:rsid w:val="10CDEB97"/>
    <w:rsid w:val="10D0F7C0"/>
    <w:rsid w:val="11006DE6"/>
    <w:rsid w:val="11D3AAC2"/>
    <w:rsid w:val="11FF121B"/>
    <w:rsid w:val="125D0BF3"/>
    <w:rsid w:val="12C5E02D"/>
    <w:rsid w:val="130305FA"/>
    <w:rsid w:val="1378C209"/>
    <w:rsid w:val="1428ED42"/>
    <w:rsid w:val="145E3034"/>
    <w:rsid w:val="14B214AA"/>
    <w:rsid w:val="1553BD32"/>
    <w:rsid w:val="165A0B98"/>
    <w:rsid w:val="16C2B08A"/>
    <w:rsid w:val="16E57A78"/>
    <w:rsid w:val="173FD9C3"/>
    <w:rsid w:val="17D96A86"/>
    <w:rsid w:val="18050D4D"/>
    <w:rsid w:val="183BF745"/>
    <w:rsid w:val="184FD3DE"/>
    <w:rsid w:val="1862694C"/>
    <w:rsid w:val="1890A68A"/>
    <w:rsid w:val="18A79B00"/>
    <w:rsid w:val="18AE10AB"/>
    <w:rsid w:val="18B0C962"/>
    <w:rsid w:val="19046152"/>
    <w:rsid w:val="1925CEAD"/>
    <w:rsid w:val="192EF7C2"/>
    <w:rsid w:val="193AB9E8"/>
    <w:rsid w:val="194C697D"/>
    <w:rsid w:val="198267AD"/>
    <w:rsid w:val="1992B3B3"/>
    <w:rsid w:val="19BA14D0"/>
    <w:rsid w:val="1A074D8D"/>
    <w:rsid w:val="1A9CFCAB"/>
    <w:rsid w:val="1B40308F"/>
    <w:rsid w:val="1B7117FF"/>
    <w:rsid w:val="1B85C8FC"/>
    <w:rsid w:val="1C1B6071"/>
    <w:rsid w:val="1C301F1A"/>
    <w:rsid w:val="1C569616"/>
    <w:rsid w:val="1C5C7C9E"/>
    <w:rsid w:val="1C7B71D0"/>
    <w:rsid w:val="1C90AAF1"/>
    <w:rsid w:val="1C926D0D"/>
    <w:rsid w:val="1C9940FB"/>
    <w:rsid w:val="1CAD03B9"/>
    <w:rsid w:val="1CC19490"/>
    <w:rsid w:val="1CDF4AF0"/>
    <w:rsid w:val="1D18304B"/>
    <w:rsid w:val="1D4584EF"/>
    <w:rsid w:val="1D754F76"/>
    <w:rsid w:val="1DEDA531"/>
    <w:rsid w:val="1E80CF16"/>
    <w:rsid w:val="1EDD1AF4"/>
    <w:rsid w:val="1EE5C9AE"/>
    <w:rsid w:val="1F4028CC"/>
    <w:rsid w:val="1F62569C"/>
    <w:rsid w:val="1F7CF7C9"/>
    <w:rsid w:val="1FA7B0E1"/>
    <w:rsid w:val="1FE98531"/>
    <w:rsid w:val="2084B22D"/>
    <w:rsid w:val="20950FCF"/>
    <w:rsid w:val="2134B2A0"/>
    <w:rsid w:val="2187238D"/>
    <w:rsid w:val="21B1D067"/>
    <w:rsid w:val="21CD16A0"/>
    <w:rsid w:val="22186214"/>
    <w:rsid w:val="2237BD22"/>
    <w:rsid w:val="223B6D76"/>
    <w:rsid w:val="224E3E64"/>
    <w:rsid w:val="230DCDCD"/>
    <w:rsid w:val="23514BF9"/>
    <w:rsid w:val="23869E31"/>
    <w:rsid w:val="2404FC9D"/>
    <w:rsid w:val="24198798"/>
    <w:rsid w:val="241F12DC"/>
    <w:rsid w:val="242FB797"/>
    <w:rsid w:val="242FD071"/>
    <w:rsid w:val="246450F0"/>
    <w:rsid w:val="24A0597B"/>
    <w:rsid w:val="24CF15A2"/>
    <w:rsid w:val="25168AD1"/>
    <w:rsid w:val="252B5028"/>
    <w:rsid w:val="265D0FD1"/>
    <w:rsid w:val="26B98B0D"/>
    <w:rsid w:val="26BB77AE"/>
    <w:rsid w:val="26BC5F90"/>
    <w:rsid w:val="26F55EB8"/>
    <w:rsid w:val="27026C94"/>
    <w:rsid w:val="270ADA88"/>
    <w:rsid w:val="28070B20"/>
    <w:rsid w:val="2866F62C"/>
    <w:rsid w:val="298C133B"/>
    <w:rsid w:val="29A7E675"/>
    <w:rsid w:val="29EDFD6D"/>
    <w:rsid w:val="2A7809C9"/>
    <w:rsid w:val="2B028755"/>
    <w:rsid w:val="2B6A0F78"/>
    <w:rsid w:val="2C089D3E"/>
    <w:rsid w:val="2C6ACF26"/>
    <w:rsid w:val="2C81C66B"/>
    <w:rsid w:val="2D2233B9"/>
    <w:rsid w:val="2D85F809"/>
    <w:rsid w:val="2D9B1C0A"/>
    <w:rsid w:val="2DA8B0B4"/>
    <w:rsid w:val="2DBDB7ED"/>
    <w:rsid w:val="2E64C45D"/>
    <w:rsid w:val="2F1595E4"/>
    <w:rsid w:val="2F57E5B6"/>
    <w:rsid w:val="2F91F6C5"/>
    <w:rsid w:val="2FCBB6C4"/>
    <w:rsid w:val="2FE9523E"/>
    <w:rsid w:val="301D0BC0"/>
    <w:rsid w:val="302E802E"/>
    <w:rsid w:val="30561774"/>
    <w:rsid w:val="305B57B3"/>
    <w:rsid w:val="308FC503"/>
    <w:rsid w:val="30F3D6AB"/>
    <w:rsid w:val="310C4498"/>
    <w:rsid w:val="3126735E"/>
    <w:rsid w:val="313A9BC9"/>
    <w:rsid w:val="321A871F"/>
    <w:rsid w:val="321C6F69"/>
    <w:rsid w:val="324B7087"/>
    <w:rsid w:val="330C829A"/>
    <w:rsid w:val="339458DE"/>
    <w:rsid w:val="33D710C0"/>
    <w:rsid w:val="33FE4D0B"/>
    <w:rsid w:val="342A3233"/>
    <w:rsid w:val="34668D03"/>
    <w:rsid w:val="346F8949"/>
    <w:rsid w:val="34A41DF6"/>
    <w:rsid w:val="34E1A8A2"/>
    <w:rsid w:val="34ED9403"/>
    <w:rsid w:val="36526EA9"/>
    <w:rsid w:val="3696AFB2"/>
    <w:rsid w:val="36A697A5"/>
    <w:rsid w:val="36E26C69"/>
    <w:rsid w:val="37ED05F2"/>
    <w:rsid w:val="386636FB"/>
    <w:rsid w:val="3885DB01"/>
    <w:rsid w:val="3930E4C1"/>
    <w:rsid w:val="3976E109"/>
    <w:rsid w:val="39C0D84A"/>
    <w:rsid w:val="39C1B4F2"/>
    <w:rsid w:val="3A198897"/>
    <w:rsid w:val="3A3BA891"/>
    <w:rsid w:val="3A51B421"/>
    <w:rsid w:val="3ADA3CC3"/>
    <w:rsid w:val="3AF143FF"/>
    <w:rsid w:val="3AFA5416"/>
    <w:rsid w:val="3C566090"/>
    <w:rsid w:val="3C66525F"/>
    <w:rsid w:val="3C954C78"/>
    <w:rsid w:val="3CB24C2B"/>
    <w:rsid w:val="3D5E94E6"/>
    <w:rsid w:val="3D73F06B"/>
    <w:rsid w:val="3D7D6F29"/>
    <w:rsid w:val="3DF46FE8"/>
    <w:rsid w:val="3E4D0F1E"/>
    <w:rsid w:val="3EBC45DB"/>
    <w:rsid w:val="3EBFB428"/>
    <w:rsid w:val="3FE16738"/>
    <w:rsid w:val="3FF72A0A"/>
    <w:rsid w:val="4053785C"/>
    <w:rsid w:val="40603BA5"/>
    <w:rsid w:val="40EDB2A1"/>
    <w:rsid w:val="40F1509E"/>
    <w:rsid w:val="41575190"/>
    <w:rsid w:val="416DDF7D"/>
    <w:rsid w:val="426155BD"/>
    <w:rsid w:val="42E06A25"/>
    <w:rsid w:val="42FD8227"/>
    <w:rsid w:val="4333E783"/>
    <w:rsid w:val="437F39B7"/>
    <w:rsid w:val="4385EF66"/>
    <w:rsid w:val="43E9FA40"/>
    <w:rsid w:val="445BF82C"/>
    <w:rsid w:val="44C341BE"/>
    <w:rsid w:val="4502FAE1"/>
    <w:rsid w:val="4513016B"/>
    <w:rsid w:val="45500CFB"/>
    <w:rsid w:val="455633C7"/>
    <w:rsid w:val="4557FDCD"/>
    <w:rsid w:val="455A1A32"/>
    <w:rsid w:val="4571CBD7"/>
    <w:rsid w:val="45DB1520"/>
    <w:rsid w:val="4656541B"/>
    <w:rsid w:val="46622033"/>
    <w:rsid w:val="46DA41CE"/>
    <w:rsid w:val="46DE4322"/>
    <w:rsid w:val="473687B9"/>
    <w:rsid w:val="478237A9"/>
    <w:rsid w:val="478853AD"/>
    <w:rsid w:val="483C49ED"/>
    <w:rsid w:val="484C84C8"/>
    <w:rsid w:val="486D2645"/>
    <w:rsid w:val="48D11486"/>
    <w:rsid w:val="48E405EA"/>
    <w:rsid w:val="48F1B48B"/>
    <w:rsid w:val="48FA7C1E"/>
    <w:rsid w:val="49002211"/>
    <w:rsid w:val="498FAE67"/>
    <w:rsid w:val="49E29DC9"/>
    <w:rsid w:val="4A0123DA"/>
    <w:rsid w:val="4A59BB6B"/>
    <w:rsid w:val="4A84E6D9"/>
    <w:rsid w:val="4BBB5B53"/>
    <w:rsid w:val="4BE73736"/>
    <w:rsid w:val="4C03197F"/>
    <w:rsid w:val="4C59C09E"/>
    <w:rsid w:val="4C5D2E8E"/>
    <w:rsid w:val="4CAD4E97"/>
    <w:rsid w:val="4CBEB095"/>
    <w:rsid w:val="4CC7827E"/>
    <w:rsid w:val="4D0838D8"/>
    <w:rsid w:val="4D44D1D1"/>
    <w:rsid w:val="4DA3F5D4"/>
    <w:rsid w:val="4E2D8B9C"/>
    <w:rsid w:val="4E4C0CE1"/>
    <w:rsid w:val="4E736EC7"/>
    <w:rsid w:val="4EABBC2F"/>
    <w:rsid w:val="4EBFD6C4"/>
    <w:rsid w:val="4EDB4900"/>
    <w:rsid w:val="4EDB522C"/>
    <w:rsid w:val="4FAE9EE2"/>
    <w:rsid w:val="4FCD0C79"/>
    <w:rsid w:val="5009BCC1"/>
    <w:rsid w:val="5062C9B8"/>
    <w:rsid w:val="50A6A70D"/>
    <w:rsid w:val="50AE250F"/>
    <w:rsid w:val="50D04DED"/>
    <w:rsid w:val="51A33013"/>
    <w:rsid w:val="51D04428"/>
    <w:rsid w:val="51F6B315"/>
    <w:rsid w:val="521D4AF8"/>
    <w:rsid w:val="52509193"/>
    <w:rsid w:val="527A9B2B"/>
    <w:rsid w:val="52CD36F1"/>
    <w:rsid w:val="52D1C303"/>
    <w:rsid w:val="532CE787"/>
    <w:rsid w:val="536A1EA7"/>
    <w:rsid w:val="53C9DDB6"/>
    <w:rsid w:val="5410E752"/>
    <w:rsid w:val="5441479C"/>
    <w:rsid w:val="548CD45B"/>
    <w:rsid w:val="54F863C6"/>
    <w:rsid w:val="551B7D46"/>
    <w:rsid w:val="5583A93A"/>
    <w:rsid w:val="5599C0BA"/>
    <w:rsid w:val="565AEF3F"/>
    <w:rsid w:val="5687D581"/>
    <w:rsid w:val="5734EFD3"/>
    <w:rsid w:val="5760B25D"/>
    <w:rsid w:val="57CFB609"/>
    <w:rsid w:val="5806773B"/>
    <w:rsid w:val="586FB2EF"/>
    <w:rsid w:val="587B79C2"/>
    <w:rsid w:val="589DC724"/>
    <w:rsid w:val="58D3E0D3"/>
    <w:rsid w:val="59CE7468"/>
    <w:rsid w:val="59F76D20"/>
    <w:rsid w:val="59FFC61C"/>
    <w:rsid w:val="5A11CFA6"/>
    <w:rsid w:val="5A6B2216"/>
    <w:rsid w:val="5B071792"/>
    <w:rsid w:val="5B750C9B"/>
    <w:rsid w:val="5BC5438A"/>
    <w:rsid w:val="5CD68D4B"/>
    <w:rsid w:val="5CDAB4E0"/>
    <w:rsid w:val="5CE3D495"/>
    <w:rsid w:val="5D0157D9"/>
    <w:rsid w:val="5DC8EA7C"/>
    <w:rsid w:val="5DD07232"/>
    <w:rsid w:val="5DE45339"/>
    <w:rsid w:val="5E21C08D"/>
    <w:rsid w:val="5E345695"/>
    <w:rsid w:val="5E49B397"/>
    <w:rsid w:val="5FF8AE7A"/>
    <w:rsid w:val="6034896E"/>
    <w:rsid w:val="6076FBBA"/>
    <w:rsid w:val="607CD388"/>
    <w:rsid w:val="60ACE0A1"/>
    <w:rsid w:val="60BF186E"/>
    <w:rsid w:val="60E053DF"/>
    <w:rsid w:val="6124506B"/>
    <w:rsid w:val="613807FB"/>
    <w:rsid w:val="613D2BD3"/>
    <w:rsid w:val="61441588"/>
    <w:rsid w:val="61A1B6E2"/>
    <w:rsid w:val="61A35E9B"/>
    <w:rsid w:val="6203D2BD"/>
    <w:rsid w:val="620C586F"/>
    <w:rsid w:val="626CB043"/>
    <w:rsid w:val="627947A4"/>
    <w:rsid w:val="627F021B"/>
    <w:rsid w:val="6327D3F7"/>
    <w:rsid w:val="637C22C3"/>
    <w:rsid w:val="63B8F82F"/>
    <w:rsid w:val="640DA657"/>
    <w:rsid w:val="6431573E"/>
    <w:rsid w:val="64617A3E"/>
    <w:rsid w:val="6464593F"/>
    <w:rsid w:val="65197447"/>
    <w:rsid w:val="65245BC9"/>
    <w:rsid w:val="65B90E9F"/>
    <w:rsid w:val="65E3AC84"/>
    <w:rsid w:val="661048AC"/>
    <w:rsid w:val="6639D36A"/>
    <w:rsid w:val="6656DF4D"/>
    <w:rsid w:val="66A110E1"/>
    <w:rsid w:val="66EBEC11"/>
    <w:rsid w:val="66F9C6FB"/>
    <w:rsid w:val="677991B9"/>
    <w:rsid w:val="677E407B"/>
    <w:rsid w:val="67B4C60B"/>
    <w:rsid w:val="6887E227"/>
    <w:rsid w:val="689ADC50"/>
    <w:rsid w:val="68AE4FDB"/>
    <w:rsid w:val="68EEBFCB"/>
    <w:rsid w:val="690E7BFA"/>
    <w:rsid w:val="6928D3E6"/>
    <w:rsid w:val="69B4DB54"/>
    <w:rsid w:val="69D2B141"/>
    <w:rsid w:val="6A09F7BC"/>
    <w:rsid w:val="6A19C421"/>
    <w:rsid w:val="6A289E35"/>
    <w:rsid w:val="6A45D757"/>
    <w:rsid w:val="6B55E273"/>
    <w:rsid w:val="6BEF131A"/>
    <w:rsid w:val="6C0CF651"/>
    <w:rsid w:val="6C2C7FAC"/>
    <w:rsid w:val="6C866F44"/>
    <w:rsid w:val="6CF176BD"/>
    <w:rsid w:val="6DEAE377"/>
    <w:rsid w:val="6E2F0B5A"/>
    <w:rsid w:val="6E4202F0"/>
    <w:rsid w:val="6F002B75"/>
    <w:rsid w:val="6F321AF5"/>
    <w:rsid w:val="6F40BF17"/>
    <w:rsid w:val="6F4AD2CD"/>
    <w:rsid w:val="6FB86331"/>
    <w:rsid w:val="6FFE2528"/>
    <w:rsid w:val="7092A98F"/>
    <w:rsid w:val="70B3545D"/>
    <w:rsid w:val="70F9D6EF"/>
    <w:rsid w:val="712F6792"/>
    <w:rsid w:val="71304157"/>
    <w:rsid w:val="71FCBF0F"/>
    <w:rsid w:val="7298774C"/>
    <w:rsid w:val="735B976E"/>
    <w:rsid w:val="73712B76"/>
    <w:rsid w:val="73B01D13"/>
    <w:rsid w:val="73BA8E99"/>
    <w:rsid w:val="73CACAE0"/>
    <w:rsid w:val="748CD294"/>
    <w:rsid w:val="74B6359C"/>
    <w:rsid w:val="752EC20D"/>
    <w:rsid w:val="75983FB3"/>
    <w:rsid w:val="75F56681"/>
    <w:rsid w:val="760456F3"/>
    <w:rsid w:val="76B62A56"/>
    <w:rsid w:val="76D69914"/>
    <w:rsid w:val="76E046CD"/>
    <w:rsid w:val="776432B8"/>
    <w:rsid w:val="7852C3E6"/>
    <w:rsid w:val="7861190F"/>
    <w:rsid w:val="7888C1E3"/>
    <w:rsid w:val="78946ABB"/>
    <w:rsid w:val="78A48720"/>
    <w:rsid w:val="78AE4999"/>
    <w:rsid w:val="79366A69"/>
    <w:rsid w:val="798DD88D"/>
    <w:rsid w:val="79A3FEC3"/>
    <w:rsid w:val="79A85B6D"/>
    <w:rsid w:val="79B4A73E"/>
    <w:rsid w:val="79D7C690"/>
    <w:rsid w:val="79E5D29B"/>
    <w:rsid w:val="79E79C18"/>
    <w:rsid w:val="7A952C09"/>
    <w:rsid w:val="7AA3D161"/>
    <w:rsid w:val="7ABB569D"/>
    <w:rsid w:val="7B09FAB8"/>
    <w:rsid w:val="7B23B460"/>
    <w:rsid w:val="7B8B1908"/>
    <w:rsid w:val="7BA84C29"/>
    <w:rsid w:val="7BDA694A"/>
    <w:rsid w:val="7BDB5458"/>
    <w:rsid w:val="7C35C67B"/>
    <w:rsid w:val="7C4ABC91"/>
    <w:rsid w:val="7C999967"/>
    <w:rsid w:val="7CB647D3"/>
    <w:rsid w:val="7CC171AB"/>
    <w:rsid w:val="7D740934"/>
    <w:rsid w:val="7D939DB8"/>
    <w:rsid w:val="7DA1544D"/>
    <w:rsid w:val="7DB5C716"/>
    <w:rsid w:val="7DE7DB18"/>
    <w:rsid w:val="7DFE3BC1"/>
    <w:rsid w:val="7E005F6B"/>
    <w:rsid w:val="7E9013A5"/>
    <w:rsid w:val="7F0779D8"/>
    <w:rsid w:val="7F237EAC"/>
    <w:rsid w:val="7F887D5B"/>
    <w:rsid w:val="7F94A4E1"/>
    <w:rsid w:val="7FB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9936F"/>
  <w15:chartTrackingRefBased/>
  <w15:docId w15:val="{CC7B61FE-1A0F-4217-A3CB-F26733E2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2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2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2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2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4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2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2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2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2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2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2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2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2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2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2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2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28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242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Fuentedeprrafopredeter"/>
    <w:rsid w:val="00624289"/>
  </w:style>
  <w:style w:type="character" w:customStyle="1" w:styleId="eop">
    <w:name w:val="eop"/>
    <w:basedOn w:val="Fuentedeprrafopredeter"/>
    <w:rsid w:val="00624289"/>
  </w:style>
  <w:style w:type="character" w:styleId="Textoennegrita">
    <w:name w:val="Strong"/>
    <w:basedOn w:val="Fuentedeprrafopredeter"/>
    <w:uiPriority w:val="22"/>
    <w:qFormat/>
    <w:rsid w:val="0021035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1035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CFC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7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76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B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onncds.org/take-action/call-to-lead-on-ncds" TargetMode="External"/><Relationship Id="rId13" Type="http://schemas.openxmlformats.org/officeDocument/2006/relationships/hyperlink" Target="https://hms.harvard.edu/news/hidden-pandemi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dalliance.org/why-ncds/NCDs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dalliance.org/why-ncds/financing-ncd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news-room/fact-sheets/detail/noncommunicable-diseas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ho.int/news-room/fact-sheets/detail/noncommunicable-diseases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A47A2ED-A5C9-4D3E-948F-E60AF6F511C8}">
    <t:Anchor>
      <t:Comment id="1638537086"/>
    </t:Anchor>
    <t:History>
      <t:Event id="{62CE9380-71C5-4096-8D52-90BDEA4A75A9}" time="2025-08-22T13:53:14.206Z">
        <t:Attribution userId="S::jmarquez@ncdalliance.org::e7f92fbc-8da7-466f-b26e-6d86f766485d" userProvider="AD" userName="Jimena Marquez"/>
        <t:Anchor>
          <t:Comment id="1638537086"/>
        </t:Anchor>
        <t:Create/>
      </t:Event>
      <t:Event id="{382DA12A-86B8-44E1-BB47-331FF78D67A4}" time="2025-08-22T13:53:14.206Z">
        <t:Attribution userId="S::jmarquez@ncdalliance.org::e7f92fbc-8da7-466f-b26e-6d86f766485d" userProvider="AD" userName="Jimena Marquez"/>
        <t:Anchor>
          <t:Comment id="1638537086"/>
        </t:Anchor>
        <t:Assign userId="S::mwang@ncdalliance.org::4a1cb462-5936-46ef-a84c-1bf71d444a8b" userProvider="AD" userName="Miranda Wang"/>
      </t:Event>
      <t:Event id="{32F81251-882E-4916-A000-9C190F41222C}" time="2025-08-22T13:53:14.206Z">
        <t:Attribution userId="S::jmarquez@ncdalliance.org::e7f92fbc-8da7-466f-b26e-6d86f766485d" userProvider="AD" userName="Jimena Marquez"/>
        <t:Anchor>
          <t:Comment id="1638537086"/>
        </t:Anchor>
        <t:SetTitle title="@Miranda Wang could you please review?"/>
      </t:Event>
      <t:Event id="{2E927B0A-300D-47D5-94DC-0039D8EE6B38}" time="2025-08-22T13:58:38.346Z">
        <t:Attribution userId="S::mwang@ncdalliance.org::4a1cb462-5936-46ef-a84c-1bf71d444a8b" userProvider="AD" userName="Miranda Wang"/>
        <t:Progress percentComplete="100"/>
      </t:Event>
      <t:Event id="{61A4C17F-0E27-4D13-B46F-5342738995D5}" time="2025-08-22T14:02:13.931Z">
        <t:Attribution userId="S::mwang@ncdalliance.org::4a1cb462-5936-46ef-a84c-1bf71d444a8b" userProvider="AD" userName="Miranda Wang"/>
        <t:Progress percentComplete="0"/>
      </t:Event>
      <t:Event id="{618A0FC7-E07A-493D-BE1F-81762552C645}" time="2025-08-22T14:05:00.274Z">
        <t:Attribution userId="S::jmarquez@ncdalliance.org::e7f92fbc-8da7-466f-b26e-6d86f766485d" userProvider="AD" userName="Jimena Marqu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9" ma:contentTypeDescription="Create a new document." ma:contentTypeScope="" ma:versionID="b20e9216461c94111648cc29952e228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b595a4274ee34abc84295cca2e24ae37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A110B-2388-4859-9073-A3298EFC4BEE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79E25A55-DAF8-4294-BD2F-DE91AF4F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5DFAB-2DCC-4AE0-9FC0-80CDE3657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4689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Marquez</dc:creator>
  <cp:keywords/>
  <dc:description/>
  <cp:lastModifiedBy>Beltrán</cp:lastModifiedBy>
  <cp:revision>3</cp:revision>
  <dcterms:created xsi:type="dcterms:W3CDTF">2025-08-28T15:46:00Z</dcterms:created>
  <dcterms:modified xsi:type="dcterms:W3CDTF">2025-08-28T16:08:00Z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0x0101001EE53F7CD8C96B4FBB25679FB26F2BC1</vt:lpwstr>
  </property>
  <property fmtid="{D5CDD505-2E9C-101B-9397-08002B2CF9AE}" pid="3" name="MediaServiceImageTags">
    <vt:lpwstr/>
  </property>
</Properties>
</file>