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4D6A4" w14:textId="61651D43" w:rsidR="30561774" w:rsidRDefault="30561774" w:rsidP="30561774">
      <w:pPr>
        <w:ind w:left="720" w:hanging="360"/>
        <w:jc w:val="center"/>
        <w:rPr>
          <w:rFonts w:ascii="Calibri" w:hAnsi="Calibri" w:cs="Calibri"/>
          <w:color w:val="EE0000"/>
          <w:highlight w:val="yellow"/>
        </w:rPr>
      </w:pPr>
    </w:p>
    <w:p w14:paraId="0E0A4167" w14:textId="51F3CBAF" w:rsidR="6A289E35" w:rsidRDefault="6A289E35" w:rsidP="30561774">
      <w:pPr>
        <w:ind w:left="720" w:hanging="360"/>
        <w:jc w:val="center"/>
        <w:rPr>
          <w:rFonts w:ascii="Calibri" w:hAnsi="Calibri" w:cs="Calibri"/>
          <w:color w:val="EE0000"/>
        </w:rPr>
      </w:pPr>
      <w:r w:rsidRPr="30561774">
        <w:rPr>
          <w:rFonts w:ascii="Calibri" w:hAnsi="Calibri" w:cs="Calibri"/>
          <w:color w:val="EE0000"/>
          <w:highlight w:val="yellow"/>
        </w:rPr>
        <w:t xml:space="preserve">PLANTILLA DE COMUNICADO DE PRENSA </w:t>
      </w:r>
    </w:p>
    <w:p w14:paraId="51CD9C60" w14:textId="284D3127" w:rsidR="30561774" w:rsidRDefault="30561774" w:rsidP="30561774">
      <w:pPr>
        <w:ind w:left="720" w:hanging="360"/>
        <w:jc w:val="center"/>
        <w:rPr>
          <w:rFonts w:ascii="Calibri" w:hAnsi="Calibri" w:cs="Calibri"/>
          <w:color w:val="EE0000"/>
          <w:highlight w:val="yellow"/>
        </w:rPr>
      </w:pPr>
    </w:p>
    <w:p w14:paraId="789E6E23" w14:textId="4E226C71" w:rsidR="6A289E35" w:rsidRDefault="6A289E35" w:rsidP="30561774">
      <w:pPr>
        <w:pStyle w:val="Prrafodelista"/>
        <w:spacing w:line="259" w:lineRule="auto"/>
        <w:jc w:val="center"/>
        <w:rPr>
          <w:rFonts w:ascii="Calibri" w:hAnsi="Calibri" w:cs="Calibri"/>
          <w:sz w:val="22"/>
          <w:szCs w:val="22"/>
          <w:highlight w:val="yellow"/>
        </w:rPr>
      </w:pPr>
      <w:r w:rsidRPr="30561774">
        <w:rPr>
          <w:rFonts w:ascii="Calibri" w:hAnsi="Calibri" w:cs="Calibri"/>
          <w:sz w:val="22"/>
          <w:szCs w:val="22"/>
          <w:highlight w:val="yellow"/>
        </w:rPr>
        <w:t>BAJO EMBARGO HASTA EL MIÉRCOLES 17 DE SEPTIEMBRE DE 2025, 23:30</w:t>
      </w:r>
    </w:p>
    <w:p w14:paraId="0A4138AC" w14:textId="02EC172D" w:rsidR="30561774" w:rsidRDefault="30561774" w:rsidP="30561774">
      <w:pPr>
        <w:pStyle w:val="Prrafodelista"/>
        <w:jc w:val="center"/>
        <w:rPr>
          <w:rFonts w:ascii="Calibri" w:hAnsi="Calibri" w:cs="Calibri"/>
          <w:b/>
          <w:bCs/>
          <w:sz w:val="22"/>
          <w:szCs w:val="22"/>
        </w:rPr>
      </w:pPr>
    </w:p>
    <w:p w14:paraId="3AE814B9" w14:textId="02086DF9" w:rsidR="46622033" w:rsidRPr="008A7104" w:rsidRDefault="46622033" w:rsidP="30561774">
      <w:pPr>
        <w:pStyle w:val="Prrafodelista"/>
        <w:spacing w:line="259" w:lineRule="auto"/>
        <w:jc w:val="center"/>
        <w:rPr>
          <w:rFonts w:ascii="Calibri" w:hAnsi="Calibri" w:cs="Calibri"/>
          <w:b/>
          <w:bCs/>
          <w:sz w:val="32"/>
          <w:szCs w:val="32"/>
          <w:lang w:val="es-ES"/>
        </w:rPr>
      </w:pPr>
      <w:r w:rsidRPr="30561774">
        <w:rPr>
          <w:rFonts w:ascii="Calibri" w:hAnsi="Calibri" w:cs="Calibri"/>
          <w:b/>
          <w:bCs/>
          <w:sz w:val="32"/>
          <w:szCs w:val="32"/>
          <w:lang w:val="es-ES"/>
        </w:rPr>
        <w:t xml:space="preserve">Débil declaración de la ONU sobre enfermedades no transmisibles, advierte la sociedad civil </w:t>
      </w:r>
    </w:p>
    <w:p w14:paraId="1AC9246E" w14:textId="77777777" w:rsidR="30561774" w:rsidRDefault="30561774" w:rsidP="30561774">
      <w:pPr>
        <w:pStyle w:val="Prrafodelista"/>
        <w:jc w:val="center"/>
        <w:rPr>
          <w:rStyle w:val="normaltextrun"/>
          <w:rFonts w:ascii="Calibri" w:hAnsi="Calibri" w:cs="Calibri"/>
          <w:b/>
          <w:bCs/>
          <w:sz w:val="28"/>
          <w:szCs w:val="28"/>
        </w:rPr>
      </w:pPr>
    </w:p>
    <w:p w14:paraId="7B83978F" w14:textId="76A4D6D2" w:rsidR="30561774" w:rsidRPr="008A7104" w:rsidRDefault="30561774" w:rsidP="30561774">
      <w:pPr>
        <w:rPr>
          <w:rFonts w:ascii="Calibri" w:hAnsi="Calibri" w:cs="Calibri"/>
          <w:sz w:val="22"/>
          <w:szCs w:val="22"/>
          <w:lang w:val="es-ES"/>
        </w:rPr>
      </w:pPr>
    </w:p>
    <w:p w14:paraId="72FAFC88" w14:textId="5AB6F3AA" w:rsidR="33FE4D0B" w:rsidRDefault="33FE4D0B" w:rsidP="30561774">
      <w:pPr>
        <w:pStyle w:val="paragraph"/>
        <w:spacing w:before="0" w:beforeAutospacing="0" w:after="0" w:afterAutospacing="0"/>
        <w:rPr>
          <w:rStyle w:val="normaltextrun"/>
          <w:rFonts w:ascii="Calibri" w:eastAsiaTheme="majorEastAsia" w:hAnsi="Calibri" w:cs="Calibri"/>
          <w:b/>
          <w:bCs/>
          <w:color w:val="000000" w:themeColor="text1"/>
          <w:sz w:val="22"/>
          <w:szCs w:val="22"/>
          <w:lang w:val="es-ES"/>
        </w:rPr>
      </w:pPr>
      <w:r w:rsidRPr="30561774">
        <w:rPr>
          <w:rStyle w:val="normaltextrun"/>
          <w:rFonts w:ascii="Calibri" w:eastAsiaTheme="majorEastAsia" w:hAnsi="Calibri" w:cs="Calibri"/>
          <w:b/>
          <w:bCs/>
          <w:sz w:val="22"/>
          <w:szCs w:val="22"/>
          <w:lang w:val="es-ES"/>
        </w:rPr>
        <w:t>Jueves, 18 de septiemb</w:t>
      </w:r>
      <w:r w:rsidR="2F1595E4" w:rsidRPr="30561774">
        <w:rPr>
          <w:rStyle w:val="normaltextrun"/>
          <w:rFonts w:ascii="Calibri" w:eastAsiaTheme="majorEastAsia" w:hAnsi="Calibri" w:cs="Calibri"/>
          <w:b/>
          <w:bCs/>
          <w:sz w:val="22"/>
          <w:szCs w:val="22"/>
          <w:lang w:val="es-ES"/>
        </w:rPr>
        <w:t>r</w:t>
      </w:r>
      <w:r w:rsidRPr="30561774">
        <w:rPr>
          <w:rStyle w:val="normaltextrun"/>
          <w:rFonts w:ascii="Calibri" w:eastAsiaTheme="majorEastAsia" w:hAnsi="Calibri" w:cs="Calibri"/>
          <w:b/>
          <w:bCs/>
          <w:sz w:val="22"/>
          <w:szCs w:val="22"/>
          <w:lang w:val="es-ES"/>
        </w:rPr>
        <w:t xml:space="preserve">e de 2025 </w:t>
      </w:r>
      <w:r w:rsidRPr="30561774">
        <w:rPr>
          <w:rStyle w:val="normaltextrun"/>
          <w:rFonts w:ascii="Calibri" w:eastAsiaTheme="majorEastAsia" w:hAnsi="Calibri" w:cs="Calibri"/>
          <w:b/>
          <w:bCs/>
          <w:color w:val="EE0000"/>
          <w:sz w:val="22"/>
          <w:szCs w:val="22"/>
          <w:highlight w:val="yellow"/>
          <w:lang w:val="es-ES"/>
        </w:rPr>
        <w:t>[incluir nombre de su ciudad</w:t>
      </w:r>
      <w:proofErr w:type="gramStart"/>
      <w:r w:rsidRPr="30561774">
        <w:rPr>
          <w:rStyle w:val="normaltextrun"/>
          <w:rFonts w:ascii="Calibri" w:eastAsiaTheme="majorEastAsia" w:hAnsi="Calibri" w:cs="Calibri"/>
          <w:b/>
          <w:bCs/>
          <w:color w:val="EE0000"/>
          <w:sz w:val="22"/>
          <w:szCs w:val="22"/>
          <w:highlight w:val="yellow"/>
          <w:lang w:val="es-ES"/>
        </w:rPr>
        <w:t>].-</w:t>
      </w:r>
      <w:proofErr w:type="gramEnd"/>
      <w:r w:rsidRPr="30561774">
        <w:rPr>
          <w:rStyle w:val="normaltextrun"/>
          <w:rFonts w:ascii="Calibri" w:eastAsiaTheme="majorEastAsia" w:hAnsi="Calibri" w:cs="Calibri"/>
          <w:b/>
          <w:bCs/>
          <w:color w:val="EE0000"/>
          <w:sz w:val="22"/>
          <w:szCs w:val="22"/>
          <w:lang w:val="es-ES"/>
        </w:rPr>
        <w:t xml:space="preserve"> </w:t>
      </w:r>
      <w:r w:rsidR="30F3D6AB" w:rsidRPr="30561774">
        <w:rPr>
          <w:rStyle w:val="normaltextrun"/>
          <w:rFonts w:ascii="Calibri" w:eastAsiaTheme="majorEastAsia" w:hAnsi="Calibri" w:cs="Calibri"/>
          <w:b/>
          <w:bCs/>
          <w:color w:val="000000" w:themeColor="text1"/>
          <w:sz w:val="22"/>
          <w:szCs w:val="22"/>
          <w:lang w:val="es-ES"/>
        </w:rPr>
        <w:t>En el primer día de la Semana Mundial de Acción sobre las Enfermedades No Transmisibles, grupos de la sociedad civil expresaron su preocupación por la debilidad de la Declaración Política, que se adoptar</w:t>
      </w:r>
      <w:r w:rsidR="224E3E64" w:rsidRPr="30561774">
        <w:rPr>
          <w:rStyle w:val="normaltextrun"/>
          <w:rFonts w:ascii="Calibri" w:eastAsiaTheme="majorEastAsia" w:hAnsi="Calibri" w:cs="Calibri"/>
          <w:b/>
          <w:bCs/>
          <w:color w:val="000000" w:themeColor="text1"/>
          <w:sz w:val="22"/>
          <w:szCs w:val="22"/>
          <w:lang w:val="es-ES"/>
        </w:rPr>
        <w:t xml:space="preserve">á el 25 de septiembre en la cuarta Reunión de Alto Nivel de la ONU sobre ENT y Salud Mental. </w:t>
      </w:r>
    </w:p>
    <w:p w14:paraId="02A39B9B" w14:textId="1E87440F" w:rsidR="30561774" w:rsidRDefault="30561774" w:rsidP="30561774">
      <w:pPr>
        <w:pStyle w:val="paragraph"/>
        <w:spacing w:before="0" w:beforeAutospacing="0" w:after="0" w:afterAutospacing="0"/>
        <w:rPr>
          <w:rStyle w:val="normaltextrun"/>
          <w:rFonts w:ascii="Calibri" w:eastAsiaTheme="majorEastAsia" w:hAnsi="Calibri" w:cs="Calibri"/>
          <w:b/>
          <w:bCs/>
          <w:color w:val="000000" w:themeColor="text1"/>
          <w:sz w:val="22"/>
          <w:szCs w:val="22"/>
          <w:lang w:val="es-ES"/>
        </w:rPr>
      </w:pPr>
    </w:p>
    <w:p w14:paraId="523E2F58" w14:textId="5EEC8467" w:rsidR="6C866F44" w:rsidRDefault="6C866F44"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“El borrador actual retrocede en los compromisos establecidos y parece favorecer los intereses de las industrias perjudiciales para la salud por encima de la salud pública. Se ha debilitado significativamente el lenguaje crucial sobre políticas de prevención rentables”, afirmó </w:t>
      </w:r>
      <w:r w:rsidRPr="30561774">
        <w:rPr>
          <w:rStyle w:val="normaltextrun"/>
          <w:rFonts w:ascii="Calibri" w:eastAsiaTheme="majorEastAsia" w:hAnsi="Calibri" w:cs="Calibri"/>
          <w:color w:val="FF0000"/>
          <w:sz w:val="22"/>
          <w:szCs w:val="22"/>
          <w:highlight w:val="yellow"/>
          <w:lang w:val="es-ES"/>
        </w:rPr>
        <w:t>[cita de la dirección de su organización].</w:t>
      </w:r>
    </w:p>
    <w:p w14:paraId="53C8E3B3" w14:textId="0A388C06" w:rsidR="6C866F44" w:rsidRDefault="6C866F44"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 </w:t>
      </w:r>
    </w:p>
    <w:p w14:paraId="2CE98D76" w14:textId="4CF901B7" w:rsidR="6C866F44" w:rsidRDefault="6C866F44"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“En un momento en que la movilización de recursos nacionales es crucial, el borrador de la declaración desperdicia una oportunidad vital para reforzar el lenguaje sobre los impuestos a la salud, políticas que pueden salvar vidas y recaudar ingresos”, afirmó </w:t>
      </w:r>
      <w:r w:rsidRPr="30561774">
        <w:rPr>
          <w:rStyle w:val="normaltextrun"/>
          <w:rFonts w:ascii="Calibri" w:eastAsiaTheme="majorEastAsia" w:hAnsi="Calibri" w:cs="Calibri"/>
          <w:color w:val="FF0000"/>
          <w:sz w:val="22"/>
          <w:szCs w:val="22"/>
          <w:highlight w:val="yellow"/>
          <w:lang w:val="es-ES"/>
        </w:rPr>
        <w:t>[cita de la dirección de su organización].</w:t>
      </w:r>
    </w:p>
    <w:p w14:paraId="561AB188" w14:textId="723A2201" w:rsidR="6C866F44" w:rsidRDefault="6C866F44"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 </w:t>
      </w:r>
    </w:p>
    <w:p w14:paraId="0CA4A60A" w14:textId="5F3DC6B1" w:rsidR="6C866F44" w:rsidRDefault="6C866F44"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El mandato para la cuarta Reunión de Alto Nivel de las Naciones Unidas sobre ENT y Salud Mental fue claro: una Declaración concisa y orientada a la acción que se base en compromisos previos e impulse la voluntad política mediante objetivos y compromisos globales mensurables. El borrador actual no cumple con este mandato.</w:t>
      </w:r>
    </w:p>
    <w:p w14:paraId="15F98097" w14:textId="59B4075D" w:rsidR="30561774" w:rsidRDefault="30561774" w:rsidP="30561774">
      <w:pPr>
        <w:pStyle w:val="paragraph"/>
        <w:spacing w:before="0" w:beforeAutospacing="0" w:after="0" w:afterAutospacing="0"/>
        <w:rPr>
          <w:rStyle w:val="normaltextrun"/>
          <w:rFonts w:ascii="Calibri" w:eastAsiaTheme="majorEastAsia" w:hAnsi="Calibri" w:cs="Calibri"/>
          <w:b/>
          <w:bCs/>
          <w:color w:val="000000" w:themeColor="text1"/>
          <w:sz w:val="22"/>
          <w:szCs w:val="22"/>
          <w:lang w:val="es-ES"/>
        </w:rPr>
      </w:pPr>
    </w:p>
    <w:p w14:paraId="62BFF901" w14:textId="6006F667" w:rsidR="51A33013" w:rsidRDefault="51A33013"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“La sociedad civil solo se menciona una vez en el borrador, y el papel de las personas que viven con ENT recibe un reconocimiento meramente simbólico. En este momento crítico, la sociedad civil y las personas que viven con ENT en todo el mundo hablan con una sola voz: es </w:t>
      </w:r>
      <w:r w:rsidR="44C341BE" w:rsidRPr="30561774">
        <w:rPr>
          <w:rStyle w:val="normaltextrun"/>
          <w:rFonts w:ascii="Calibri" w:eastAsiaTheme="majorEastAsia" w:hAnsi="Calibri" w:cs="Calibri"/>
          <w:color w:val="000000" w:themeColor="text1"/>
          <w:sz w:val="22"/>
          <w:szCs w:val="22"/>
          <w:lang w:val="es-ES"/>
        </w:rPr>
        <w:t xml:space="preserve">la </w:t>
      </w:r>
      <w:r w:rsidRPr="30561774">
        <w:rPr>
          <w:rStyle w:val="normaltextrun"/>
          <w:rFonts w:ascii="Calibri" w:eastAsiaTheme="majorEastAsia" w:hAnsi="Calibri" w:cs="Calibri"/>
          <w:color w:val="000000" w:themeColor="text1"/>
          <w:sz w:val="22"/>
          <w:szCs w:val="22"/>
          <w:lang w:val="es-ES"/>
        </w:rPr>
        <w:t>hora de</w:t>
      </w:r>
      <w:r w:rsidR="5009BCC1" w:rsidRPr="30561774">
        <w:rPr>
          <w:rStyle w:val="normaltextrun"/>
          <w:rFonts w:ascii="Calibri" w:eastAsiaTheme="majorEastAsia" w:hAnsi="Calibri" w:cs="Calibri"/>
          <w:color w:val="000000" w:themeColor="text1"/>
          <w:sz w:val="22"/>
          <w:szCs w:val="22"/>
          <w:lang w:val="es-ES"/>
        </w:rPr>
        <w:t xml:space="preserve">l </w:t>
      </w:r>
      <w:r w:rsidRPr="30561774">
        <w:rPr>
          <w:rStyle w:val="normaltextrun"/>
          <w:rFonts w:ascii="Calibri" w:eastAsiaTheme="majorEastAsia" w:hAnsi="Calibri" w:cs="Calibri"/>
          <w:color w:val="000000" w:themeColor="text1"/>
          <w:sz w:val="22"/>
          <w:szCs w:val="22"/>
          <w:lang w:val="es-ES"/>
        </w:rPr>
        <w:t xml:space="preserve">liderazgo, </w:t>
      </w:r>
      <w:r w:rsidR="527A9B2B" w:rsidRPr="30561774">
        <w:rPr>
          <w:rStyle w:val="normaltextrun"/>
          <w:rFonts w:ascii="Calibri" w:eastAsiaTheme="majorEastAsia" w:hAnsi="Calibri" w:cs="Calibri"/>
          <w:color w:val="000000" w:themeColor="text1"/>
          <w:sz w:val="22"/>
          <w:szCs w:val="22"/>
          <w:lang w:val="es-ES"/>
        </w:rPr>
        <w:t xml:space="preserve">la </w:t>
      </w:r>
      <w:r w:rsidRPr="30561774">
        <w:rPr>
          <w:rStyle w:val="normaltextrun"/>
          <w:rFonts w:ascii="Calibri" w:eastAsiaTheme="majorEastAsia" w:hAnsi="Calibri" w:cs="Calibri"/>
          <w:color w:val="000000" w:themeColor="text1"/>
          <w:sz w:val="22"/>
          <w:szCs w:val="22"/>
          <w:lang w:val="es-ES"/>
        </w:rPr>
        <w:t xml:space="preserve">financiación y </w:t>
      </w:r>
      <w:r w:rsidR="40EDB2A1" w:rsidRPr="30561774">
        <w:rPr>
          <w:rStyle w:val="normaltextrun"/>
          <w:rFonts w:ascii="Calibri" w:eastAsiaTheme="majorEastAsia" w:hAnsi="Calibri" w:cs="Calibri"/>
          <w:color w:val="000000" w:themeColor="text1"/>
          <w:sz w:val="22"/>
          <w:szCs w:val="22"/>
          <w:lang w:val="es-ES"/>
        </w:rPr>
        <w:t xml:space="preserve">la </w:t>
      </w:r>
      <w:r w:rsidRPr="30561774">
        <w:rPr>
          <w:rStyle w:val="normaltextrun"/>
          <w:rFonts w:ascii="Calibri" w:eastAsiaTheme="majorEastAsia" w:hAnsi="Calibri" w:cs="Calibri"/>
          <w:color w:val="000000" w:themeColor="text1"/>
          <w:sz w:val="22"/>
          <w:szCs w:val="22"/>
          <w:lang w:val="es-ES"/>
        </w:rPr>
        <w:t xml:space="preserve">rendición de cuentas”, afirmó </w:t>
      </w:r>
      <w:r w:rsidRPr="30561774">
        <w:rPr>
          <w:rStyle w:val="normaltextrun"/>
          <w:rFonts w:ascii="Calibri" w:eastAsiaTheme="majorEastAsia" w:hAnsi="Calibri" w:cs="Calibri"/>
          <w:color w:val="FF0000"/>
          <w:sz w:val="22"/>
          <w:szCs w:val="22"/>
          <w:highlight w:val="yellow"/>
          <w:lang w:val="es-ES"/>
        </w:rPr>
        <w:t>[cita del liderazgo de su organización].</w:t>
      </w:r>
    </w:p>
    <w:p w14:paraId="301070EE" w14:textId="3CE38705" w:rsidR="51A33013" w:rsidRDefault="51A33013"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 </w:t>
      </w:r>
    </w:p>
    <w:p w14:paraId="126D6950" w14:textId="0B13536E" w:rsidR="51A33013" w:rsidRDefault="51A33013"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Si bien el borrador actual representa un retroceso para ciertas políticas de prevención y control de ENT, también presenta algunos aspectos positivos, como la inclusión de objetivos globales y de trazadores para impulsar la rendición de cuentas y medir el progreso hacia 2030. “La siguiente etapa será la acción nacional, y la sociedad civil está lista para seguir exigiendo avances”, afirmó </w:t>
      </w:r>
      <w:r w:rsidRPr="30561774">
        <w:rPr>
          <w:rStyle w:val="normaltextrun"/>
          <w:rFonts w:ascii="Calibri" w:eastAsiaTheme="majorEastAsia" w:hAnsi="Calibri" w:cs="Calibri"/>
          <w:color w:val="FF0000"/>
          <w:sz w:val="22"/>
          <w:szCs w:val="22"/>
          <w:highlight w:val="yellow"/>
          <w:lang w:val="es-ES"/>
        </w:rPr>
        <w:t>[cita del liderazgo de su organización].</w:t>
      </w:r>
    </w:p>
    <w:p w14:paraId="14C79325" w14:textId="2CF3FAB6" w:rsidR="30561774" w:rsidRDefault="30561774" w:rsidP="30561774">
      <w:pPr>
        <w:pStyle w:val="paragraph"/>
        <w:spacing w:before="0" w:beforeAutospacing="0" w:after="0" w:afterAutospacing="0"/>
        <w:rPr>
          <w:rStyle w:val="normaltextrun"/>
          <w:rFonts w:ascii="Calibri" w:eastAsiaTheme="majorEastAsia" w:hAnsi="Calibri" w:cs="Calibri"/>
          <w:b/>
          <w:bCs/>
          <w:color w:val="000000" w:themeColor="text1"/>
          <w:sz w:val="22"/>
          <w:szCs w:val="22"/>
          <w:lang w:val="es-ES"/>
        </w:rPr>
      </w:pPr>
    </w:p>
    <w:p w14:paraId="7BC1DC8B" w14:textId="6ACC0130" w:rsidR="1C301F1A" w:rsidRDefault="1C301F1A"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Con el respaldo de más de 3 millones de voces de más de 115 países, los y las defensores/as de la salud mundial instan a los gobiernos a invertir en soluciones rentables, cumplir con sus compromisos y priorizar a las personas. La campaña </w:t>
      </w:r>
      <w:hyperlink r:id="rId8">
        <w:r w:rsidRPr="30561774">
          <w:rPr>
            <w:rStyle w:val="Hipervnculo"/>
            <w:rFonts w:ascii="Calibri" w:eastAsiaTheme="majorEastAsia" w:hAnsi="Calibri" w:cs="Calibri"/>
            <w:sz w:val="22"/>
            <w:szCs w:val="22"/>
            <w:lang w:val="es-ES"/>
          </w:rPr>
          <w:t>"Tiempo de Liderar"</w:t>
        </w:r>
      </w:hyperlink>
      <w:r w:rsidRPr="30561774">
        <w:rPr>
          <w:rStyle w:val="normaltextrun"/>
          <w:rFonts w:ascii="Calibri" w:eastAsiaTheme="majorEastAsia" w:hAnsi="Calibri" w:cs="Calibri"/>
          <w:color w:val="000000" w:themeColor="text1"/>
          <w:sz w:val="22"/>
          <w:szCs w:val="22"/>
          <w:lang w:val="es-ES"/>
        </w:rPr>
        <w:t>, parte de la Semana Mundial de Acción sobre las ENT (18-25 de septiembre), eleva las voces de la sociedad civil en vísperas de la RAN4, exigiendo un liderazgo decidido de los gobiernos y acciones para combatir las principales causas de muerte en el mundo.</w:t>
      </w:r>
    </w:p>
    <w:p w14:paraId="2A9596CE" w14:textId="63DAC56B" w:rsidR="1C301F1A" w:rsidRDefault="1C301F1A"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 </w:t>
      </w:r>
    </w:p>
    <w:p w14:paraId="2DC9264D" w14:textId="45B98364" w:rsidR="1C301F1A" w:rsidRDefault="1C301F1A" w:rsidP="30561774">
      <w:pPr>
        <w:pStyle w:val="paragraph"/>
        <w:spacing w:before="0" w:beforeAutospacing="0" w:after="0" w:afterAutospacing="0"/>
        <w:rPr>
          <w:rStyle w:val="normaltextrun"/>
          <w:rFonts w:ascii="Calibri" w:eastAsiaTheme="majorEastAsia" w:hAnsi="Calibri" w:cs="Calibri"/>
          <w:color w:val="FF0000"/>
          <w:sz w:val="22"/>
          <w:szCs w:val="22"/>
          <w:lang w:val="es-ES"/>
        </w:rPr>
      </w:pPr>
      <w:r w:rsidRPr="30561774">
        <w:rPr>
          <w:rStyle w:val="normaltextrun"/>
          <w:rFonts w:ascii="Calibri" w:eastAsiaTheme="majorEastAsia" w:hAnsi="Calibri" w:cs="Calibri"/>
          <w:color w:val="000000" w:themeColor="text1"/>
          <w:sz w:val="22"/>
          <w:szCs w:val="22"/>
          <w:lang w:val="es-ES"/>
        </w:rPr>
        <w:t xml:space="preserve">Cada año, </w:t>
      </w:r>
      <w:hyperlink r:id="rId9">
        <w:r w:rsidRPr="30561774">
          <w:rPr>
            <w:rStyle w:val="Hipervnculo"/>
            <w:rFonts w:ascii="Calibri" w:eastAsiaTheme="majorEastAsia" w:hAnsi="Calibri" w:cs="Calibri"/>
            <w:sz w:val="22"/>
            <w:szCs w:val="22"/>
            <w:lang w:val="es-ES"/>
          </w:rPr>
          <w:t>43 millones</w:t>
        </w:r>
      </w:hyperlink>
      <w:r w:rsidRPr="30561774">
        <w:rPr>
          <w:rStyle w:val="normaltextrun"/>
          <w:rFonts w:ascii="Calibri" w:eastAsiaTheme="majorEastAsia" w:hAnsi="Calibri" w:cs="Calibri"/>
          <w:color w:val="000000" w:themeColor="text1"/>
          <w:sz w:val="22"/>
          <w:szCs w:val="22"/>
          <w:lang w:val="es-ES"/>
        </w:rPr>
        <w:t xml:space="preserve"> de personas mueren a causa de las ENT. Estas enfermedades, que incluyen cardiopatías, cáncer, diabetes, enfermedades respiratorias crónicas y problemas de salud mental, representan </w:t>
      </w:r>
      <w:hyperlink r:id="rId10">
        <w:r w:rsidRPr="30561774">
          <w:rPr>
            <w:rStyle w:val="Hipervnculo"/>
            <w:rFonts w:ascii="Calibri" w:eastAsiaTheme="majorEastAsia" w:hAnsi="Calibri" w:cs="Calibri"/>
            <w:sz w:val="22"/>
            <w:szCs w:val="22"/>
            <w:lang w:val="es-ES"/>
          </w:rPr>
          <w:t>más del 75 % de las muertes en todo el mundo</w:t>
        </w:r>
      </w:hyperlink>
      <w:r w:rsidRPr="30561774">
        <w:rPr>
          <w:rStyle w:val="normaltextrun"/>
          <w:rFonts w:ascii="Calibri" w:eastAsiaTheme="majorEastAsia" w:hAnsi="Calibri" w:cs="Calibri"/>
          <w:color w:val="000000" w:themeColor="text1"/>
          <w:sz w:val="22"/>
          <w:szCs w:val="22"/>
          <w:lang w:val="es-ES"/>
        </w:rPr>
        <w:t xml:space="preserve">. A pesar de su prevalencia, las ENT son el problema de salud mundial </w:t>
      </w:r>
      <w:hyperlink r:id="rId11">
        <w:r w:rsidRPr="30561774">
          <w:rPr>
            <w:rStyle w:val="Hipervnculo"/>
            <w:rFonts w:ascii="Calibri" w:eastAsiaTheme="majorEastAsia" w:hAnsi="Calibri" w:cs="Calibri"/>
            <w:sz w:val="22"/>
            <w:szCs w:val="22"/>
            <w:lang w:val="es-ES"/>
          </w:rPr>
          <w:t>con menor financiación</w:t>
        </w:r>
      </w:hyperlink>
      <w:r w:rsidRPr="30561774">
        <w:rPr>
          <w:rStyle w:val="normaltextrun"/>
          <w:rFonts w:ascii="Calibri" w:eastAsiaTheme="majorEastAsia" w:hAnsi="Calibri" w:cs="Calibri"/>
          <w:color w:val="000000" w:themeColor="text1"/>
          <w:sz w:val="22"/>
          <w:szCs w:val="22"/>
          <w:lang w:val="es-ES"/>
        </w:rPr>
        <w:t xml:space="preserve"> en comparación con los miles de millones de personas afectadas. </w:t>
      </w:r>
      <w:r w:rsidRPr="30561774">
        <w:rPr>
          <w:rStyle w:val="normaltextrun"/>
          <w:rFonts w:ascii="Calibri" w:eastAsiaTheme="majorEastAsia" w:hAnsi="Calibri" w:cs="Calibri"/>
          <w:color w:val="FF0000"/>
          <w:sz w:val="22"/>
          <w:szCs w:val="22"/>
          <w:highlight w:val="yellow"/>
          <w:lang w:val="es-ES"/>
        </w:rPr>
        <w:t>[Considere agregar sus estadísticas locales].</w:t>
      </w:r>
    </w:p>
    <w:p w14:paraId="7A104BB7" w14:textId="07523817" w:rsidR="1C301F1A" w:rsidRDefault="1C301F1A"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r w:rsidRPr="30561774">
        <w:rPr>
          <w:rStyle w:val="normaltextrun"/>
          <w:rFonts w:ascii="Calibri" w:eastAsiaTheme="majorEastAsia" w:hAnsi="Calibri" w:cs="Calibri"/>
          <w:color w:val="000000" w:themeColor="text1"/>
          <w:sz w:val="22"/>
          <w:szCs w:val="22"/>
          <w:lang w:val="es-ES"/>
        </w:rPr>
        <w:t xml:space="preserve"> </w:t>
      </w:r>
    </w:p>
    <w:p w14:paraId="621E8E7B" w14:textId="27936C36" w:rsidR="1C301F1A" w:rsidRDefault="1C301F1A" w:rsidP="30561774">
      <w:pPr>
        <w:pStyle w:val="paragraph"/>
        <w:spacing w:before="0" w:beforeAutospacing="0" w:after="0" w:afterAutospacing="0"/>
        <w:rPr>
          <w:rStyle w:val="normaltextrun"/>
          <w:rFonts w:ascii="Calibri" w:eastAsiaTheme="majorEastAsia" w:hAnsi="Calibri" w:cs="Calibri"/>
          <w:color w:val="000000" w:themeColor="text1"/>
          <w:sz w:val="22"/>
          <w:szCs w:val="22"/>
          <w:lang w:val="es-ES"/>
        </w:rPr>
      </w:pPr>
      <w:hyperlink r:id="rId12">
        <w:r w:rsidRPr="30561774">
          <w:rPr>
            <w:rStyle w:val="Hipervnculo"/>
            <w:rFonts w:ascii="Calibri" w:eastAsiaTheme="majorEastAsia" w:hAnsi="Calibri" w:cs="Calibri"/>
            <w:sz w:val="22"/>
            <w:szCs w:val="22"/>
            <w:lang w:val="es-ES"/>
          </w:rPr>
          <w:t>Las ENT afectan a tod</w:t>
        </w:r>
        <w:r w:rsidR="4CC7827E" w:rsidRPr="30561774">
          <w:rPr>
            <w:rStyle w:val="Hipervnculo"/>
            <w:rFonts w:ascii="Calibri" w:eastAsiaTheme="majorEastAsia" w:hAnsi="Calibri" w:cs="Calibri"/>
            <w:sz w:val="22"/>
            <w:szCs w:val="22"/>
            <w:lang w:val="es-ES"/>
          </w:rPr>
          <w:t>a</w:t>
        </w:r>
        <w:r w:rsidRPr="30561774">
          <w:rPr>
            <w:rStyle w:val="Hipervnculo"/>
            <w:rFonts w:ascii="Calibri" w:eastAsiaTheme="majorEastAsia" w:hAnsi="Calibri" w:cs="Calibri"/>
            <w:sz w:val="22"/>
            <w:szCs w:val="22"/>
            <w:lang w:val="es-ES"/>
          </w:rPr>
          <w:t>s</w:t>
        </w:r>
        <w:r w:rsidR="760456F3" w:rsidRPr="30561774">
          <w:rPr>
            <w:rStyle w:val="Hipervnculo"/>
            <w:rFonts w:ascii="Calibri" w:eastAsiaTheme="majorEastAsia" w:hAnsi="Calibri" w:cs="Calibri"/>
            <w:sz w:val="22"/>
            <w:szCs w:val="22"/>
            <w:lang w:val="es-ES"/>
          </w:rPr>
          <w:t xml:space="preserve"> las personas</w:t>
        </w:r>
        <w:r w:rsidRPr="30561774">
          <w:rPr>
            <w:rStyle w:val="Hipervnculo"/>
            <w:rFonts w:ascii="Calibri" w:eastAsiaTheme="majorEastAsia" w:hAnsi="Calibri" w:cs="Calibri"/>
            <w:sz w:val="22"/>
            <w:szCs w:val="22"/>
            <w:lang w:val="es-ES"/>
          </w:rPr>
          <w:t>, en todas partes</w:t>
        </w:r>
      </w:hyperlink>
      <w:r w:rsidRPr="30561774">
        <w:rPr>
          <w:rStyle w:val="normaltextrun"/>
          <w:rFonts w:ascii="Calibri" w:eastAsiaTheme="majorEastAsia" w:hAnsi="Calibri" w:cs="Calibri"/>
          <w:color w:val="000000" w:themeColor="text1"/>
          <w:sz w:val="22"/>
          <w:szCs w:val="22"/>
          <w:lang w:val="es-ES"/>
        </w:rPr>
        <w:t xml:space="preserve">, pero </w:t>
      </w:r>
      <w:r w:rsidR="1E80CF16" w:rsidRPr="30561774">
        <w:rPr>
          <w:rStyle w:val="normaltextrun"/>
          <w:rFonts w:ascii="Calibri" w:eastAsiaTheme="majorEastAsia" w:hAnsi="Calibri" w:cs="Calibri"/>
          <w:color w:val="000000" w:themeColor="text1"/>
          <w:sz w:val="22"/>
          <w:szCs w:val="22"/>
          <w:lang w:val="es-ES"/>
        </w:rPr>
        <w:t>lo hace</w:t>
      </w:r>
      <w:r w:rsidRPr="30561774">
        <w:rPr>
          <w:rStyle w:val="normaltextrun"/>
          <w:rFonts w:ascii="Calibri" w:eastAsiaTheme="majorEastAsia" w:hAnsi="Calibri" w:cs="Calibri"/>
          <w:color w:val="000000" w:themeColor="text1"/>
          <w:sz w:val="22"/>
          <w:szCs w:val="22"/>
          <w:lang w:val="es-ES"/>
        </w:rPr>
        <w:t xml:space="preserve">n de forma desproporcionada a </w:t>
      </w:r>
      <w:r w:rsidR="241F12DC" w:rsidRPr="30561774">
        <w:rPr>
          <w:rStyle w:val="normaltextrun"/>
          <w:rFonts w:ascii="Calibri" w:eastAsiaTheme="majorEastAsia" w:hAnsi="Calibri" w:cs="Calibri"/>
          <w:color w:val="000000" w:themeColor="text1"/>
          <w:sz w:val="22"/>
          <w:szCs w:val="22"/>
          <w:lang w:val="es-ES"/>
        </w:rPr>
        <w:t>aquellas</w:t>
      </w:r>
      <w:r w:rsidRPr="30561774">
        <w:rPr>
          <w:rStyle w:val="normaltextrun"/>
          <w:rFonts w:ascii="Calibri" w:eastAsiaTheme="majorEastAsia" w:hAnsi="Calibri" w:cs="Calibri"/>
          <w:color w:val="000000" w:themeColor="text1"/>
          <w:sz w:val="22"/>
          <w:szCs w:val="22"/>
          <w:lang w:val="es-ES"/>
        </w:rPr>
        <w:t xml:space="preserve"> que viven en países de ingresos bajos y medianos (PIBM), donde el acceso a la atención médica es limitado. Entre las personas </w:t>
      </w:r>
      <w:r w:rsidR="1F4028CC" w:rsidRPr="30561774">
        <w:rPr>
          <w:rStyle w:val="normaltextrun"/>
          <w:rFonts w:ascii="Calibri" w:eastAsiaTheme="majorEastAsia" w:hAnsi="Calibri" w:cs="Calibri"/>
          <w:color w:val="000000" w:themeColor="text1"/>
          <w:sz w:val="22"/>
          <w:szCs w:val="22"/>
          <w:lang w:val="es-ES"/>
        </w:rPr>
        <w:t>que habitan en PIBM</w:t>
      </w:r>
      <w:r w:rsidRPr="30561774">
        <w:rPr>
          <w:rStyle w:val="normaltextrun"/>
          <w:rFonts w:ascii="Calibri" w:eastAsiaTheme="majorEastAsia" w:hAnsi="Calibri" w:cs="Calibri"/>
          <w:color w:val="000000" w:themeColor="text1"/>
          <w:sz w:val="22"/>
          <w:szCs w:val="22"/>
          <w:lang w:val="es-ES"/>
        </w:rPr>
        <w:t xml:space="preserve">, las ENT y las lesiones matan a más personas menores de 40 años que el </w:t>
      </w:r>
      <w:hyperlink r:id="rId13">
        <w:r w:rsidRPr="30561774">
          <w:rPr>
            <w:rStyle w:val="Hipervnculo"/>
            <w:rFonts w:ascii="Calibri" w:eastAsiaTheme="majorEastAsia" w:hAnsi="Calibri" w:cs="Calibri"/>
            <w:sz w:val="22"/>
            <w:szCs w:val="22"/>
            <w:lang w:val="es-ES"/>
          </w:rPr>
          <w:t>VIH, la tuberculosis y las muertes maternas juntas</w:t>
        </w:r>
      </w:hyperlink>
      <w:r w:rsidRPr="30561774">
        <w:rPr>
          <w:rStyle w:val="normaltextrun"/>
          <w:rFonts w:ascii="Calibri" w:eastAsiaTheme="majorEastAsia" w:hAnsi="Calibri" w:cs="Calibri"/>
          <w:color w:val="000000" w:themeColor="text1"/>
          <w:sz w:val="22"/>
          <w:szCs w:val="22"/>
          <w:lang w:val="es-ES"/>
        </w:rPr>
        <w:t>.</w:t>
      </w:r>
    </w:p>
    <w:p w14:paraId="6B3446B0" w14:textId="4B5DDFD9" w:rsidR="33FE4D0B" w:rsidRPr="008A7104" w:rsidRDefault="33FE4D0B" w:rsidP="30561774">
      <w:pPr>
        <w:pStyle w:val="paragraph"/>
        <w:spacing w:before="0" w:beforeAutospacing="0" w:after="0" w:afterAutospacing="0"/>
        <w:rPr>
          <w:rStyle w:val="Textoennegrita"/>
          <w:rFonts w:ascii="Segoe UI" w:hAnsi="Segoe UI" w:cs="Segoe UI"/>
          <w:b w:val="0"/>
          <w:bCs w:val="0"/>
          <w:sz w:val="18"/>
          <w:szCs w:val="18"/>
          <w:lang w:val="es-ES"/>
        </w:rPr>
      </w:pPr>
      <w:r>
        <w:br/>
      </w:r>
      <w:r>
        <w:br/>
      </w:r>
      <w:r w:rsidRPr="30561774">
        <w:rPr>
          <w:rFonts w:ascii="Calibri" w:hAnsi="Calibri" w:cs="Calibri"/>
          <w:color w:val="202020"/>
          <w:sz w:val="22"/>
          <w:szCs w:val="22"/>
        </w:rPr>
        <w:t>***</w:t>
      </w:r>
      <w:r w:rsidR="41575190" w:rsidRPr="30561774">
        <w:rPr>
          <w:rFonts w:ascii="Calibri" w:hAnsi="Calibri" w:cs="Calibri"/>
          <w:color w:val="202020"/>
          <w:sz w:val="22"/>
          <w:szCs w:val="22"/>
        </w:rPr>
        <w:t>FINAL</w:t>
      </w:r>
      <w:r w:rsidRPr="30561774">
        <w:rPr>
          <w:rFonts w:ascii="Calibri" w:hAnsi="Calibri" w:cs="Calibri"/>
          <w:color w:val="202020"/>
          <w:sz w:val="22"/>
          <w:szCs w:val="22"/>
        </w:rPr>
        <w:t>***</w:t>
      </w:r>
      <w:r>
        <w:br/>
      </w:r>
    </w:p>
    <w:p w14:paraId="100702CF" w14:textId="14EF2C6C" w:rsidR="0AE5CDED" w:rsidRDefault="0AE5CDED" w:rsidP="30561774">
      <w:pPr>
        <w:pStyle w:val="paragraph"/>
        <w:spacing w:before="0" w:beforeAutospacing="0" w:after="0" w:afterAutospacing="0"/>
        <w:jc w:val="both"/>
        <w:rPr>
          <w:rFonts w:ascii="Segoe UI" w:hAnsi="Segoe UI" w:cs="Segoe UI"/>
          <w:b/>
          <w:bCs/>
          <w:sz w:val="18"/>
          <w:szCs w:val="18"/>
        </w:rPr>
      </w:pPr>
      <w:r w:rsidRPr="008A7104">
        <w:rPr>
          <w:rStyle w:val="normaltextrun"/>
          <w:rFonts w:ascii="Calibri" w:eastAsiaTheme="majorEastAsia" w:hAnsi="Calibri" w:cs="Calibri"/>
          <w:b/>
          <w:bCs/>
          <w:color w:val="000000" w:themeColor="text1"/>
          <w:sz w:val="22"/>
          <w:szCs w:val="22"/>
          <w:lang w:val="es-ES"/>
        </w:rPr>
        <w:t>Más informació</w:t>
      </w:r>
      <w:r w:rsidR="33FE4D0B" w:rsidRPr="008A7104">
        <w:rPr>
          <w:rStyle w:val="normaltextrun"/>
          <w:rFonts w:ascii="Calibri" w:eastAsiaTheme="majorEastAsia" w:hAnsi="Calibri" w:cs="Calibri"/>
          <w:b/>
          <w:bCs/>
          <w:color w:val="000000" w:themeColor="text1"/>
          <w:sz w:val="22"/>
          <w:szCs w:val="22"/>
          <w:lang w:val="es-ES"/>
        </w:rPr>
        <w:t>n: </w:t>
      </w:r>
      <w:r w:rsidR="33FE4D0B" w:rsidRPr="30561774">
        <w:rPr>
          <w:rStyle w:val="eop"/>
          <w:rFonts w:ascii="Calibri" w:eastAsiaTheme="majorEastAsia" w:hAnsi="Calibri" w:cs="Calibri"/>
          <w:b/>
          <w:bCs/>
          <w:color w:val="000000" w:themeColor="text1"/>
          <w:sz w:val="22"/>
          <w:szCs w:val="22"/>
        </w:rPr>
        <w:t> </w:t>
      </w:r>
    </w:p>
    <w:p w14:paraId="3A909BB8" w14:textId="4C91D0BA" w:rsidR="33FE4D0B" w:rsidRDefault="33FE4D0B" w:rsidP="30561774">
      <w:pPr>
        <w:pStyle w:val="paragraph"/>
        <w:spacing w:before="0" w:beforeAutospacing="0" w:after="0" w:afterAutospacing="0"/>
        <w:jc w:val="both"/>
        <w:rPr>
          <w:rFonts w:ascii="Segoe UI" w:hAnsi="Segoe UI" w:cs="Segoe UI"/>
          <w:sz w:val="18"/>
          <w:szCs w:val="18"/>
        </w:rPr>
      </w:pPr>
      <w:r w:rsidRPr="008A7104">
        <w:rPr>
          <w:rStyle w:val="normaltextrun"/>
          <w:rFonts w:ascii="Calibri" w:eastAsiaTheme="majorEastAsia" w:hAnsi="Calibri" w:cs="Calibri"/>
          <w:color w:val="FF0000"/>
          <w:sz w:val="22"/>
          <w:szCs w:val="22"/>
          <w:lang w:val="es-ES"/>
        </w:rPr>
        <w:t>[</w:t>
      </w:r>
      <w:r w:rsidR="308FC503" w:rsidRPr="008A7104">
        <w:rPr>
          <w:rStyle w:val="normaltextrun"/>
          <w:rFonts w:ascii="Calibri" w:eastAsiaTheme="majorEastAsia" w:hAnsi="Calibri" w:cs="Calibri"/>
          <w:color w:val="FF0000"/>
          <w:sz w:val="22"/>
          <w:szCs w:val="22"/>
          <w:lang w:val="es-ES"/>
        </w:rPr>
        <w:t>añadir información de contacto de prensa de su organización</w:t>
      </w:r>
      <w:r w:rsidRPr="008A7104">
        <w:rPr>
          <w:rStyle w:val="normaltextrun"/>
          <w:rFonts w:ascii="Calibri" w:eastAsiaTheme="majorEastAsia" w:hAnsi="Calibri" w:cs="Calibri"/>
          <w:color w:val="FF0000"/>
          <w:sz w:val="22"/>
          <w:szCs w:val="22"/>
          <w:lang w:val="es-ES"/>
        </w:rPr>
        <w:t>]</w:t>
      </w:r>
      <w:r w:rsidRPr="30561774">
        <w:rPr>
          <w:rStyle w:val="eop"/>
          <w:rFonts w:ascii="Calibri" w:eastAsiaTheme="majorEastAsia" w:hAnsi="Calibri" w:cs="Calibri"/>
          <w:color w:val="FF0000"/>
          <w:sz w:val="22"/>
          <w:szCs w:val="22"/>
        </w:rPr>
        <w:t> </w:t>
      </w:r>
    </w:p>
    <w:p w14:paraId="2CA7EF92" w14:textId="3FFFB018" w:rsidR="33FE4D0B" w:rsidRDefault="33FE4D0B" w:rsidP="30561774">
      <w:pPr>
        <w:pStyle w:val="paragraph"/>
        <w:spacing w:before="0" w:beforeAutospacing="0" w:after="0" w:afterAutospacing="0"/>
        <w:jc w:val="both"/>
        <w:rPr>
          <w:rFonts w:ascii="Segoe UI" w:hAnsi="Segoe UI" w:cs="Segoe UI"/>
          <w:sz w:val="18"/>
          <w:szCs w:val="18"/>
        </w:rPr>
      </w:pPr>
      <w:r w:rsidRPr="30561774">
        <w:rPr>
          <w:rStyle w:val="eop"/>
          <w:rFonts w:ascii="Calibri" w:eastAsiaTheme="majorEastAsia" w:hAnsi="Calibri" w:cs="Calibri"/>
          <w:sz w:val="22"/>
          <w:szCs w:val="22"/>
        </w:rPr>
        <w:t> </w:t>
      </w:r>
    </w:p>
    <w:p w14:paraId="4563C6DE" w14:textId="1B5D4D2F" w:rsidR="30561774" w:rsidRPr="008A7104" w:rsidRDefault="68EEBFCB" w:rsidP="30561774">
      <w:pPr>
        <w:pStyle w:val="paragraph"/>
        <w:spacing w:before="0" w:beforeAutospacing="0" w:after="0" w:afterAutospacing="0"/>
        <w:jc w:val="both"/>
        <w:rPr>
          <w:rStyle w:val="eop"/>
          <w:rFonts w:ascii="Segoe UI" w:hAnsi="Segoe UI" w:cs="Segoe UI"/>
          <w:sz w:val="18"/>
          <w:szCs w:val="18"/>
          <w:lang w:val="es-ES"/>
        </w:rPr>
      </w:pPr>
      <w:r w:rsidRPr="008A7104">
        <w:rPr>
          <w:rStyle w:val="normaltextrun"/>
          <w:rFonts w:ascii="Calibri" w:eastAsiaTheme="majorEastAsia" w:hAnsi="Calibri" w:cs="Calibri"/>
          <w:b/>
          <w:bCs/>
          <w:sz w:val="22"/>
          <w:szCs w:val="22"/>
          <w:lang w:val="es-ES"/>
        </w:rPr>
        <w:t>Acerca de</w:t>
      </w:r>
      <w:r w:rsidR="33FE4D0B" w:rsidRPr="008A7104">
        <w:rPr>
          <w:rStyle w:val="normaltextrun"/>
          <w:rFonts w:ascii="Calibri" w:eastAsiaTheme="majorEastAsia" w:hAnsi="Calibri" w:cs="Calibri"/>
          <w:b/>
          <w:bCs/>
          <w:sz w:val="22"/>
          <w:szCs w:val="22"/>
          <w:lang w:val="es-ES"/>
        </w:rPr>
        <w:t xml:space="preserve"> </w:t>
      </w:r>
      <w:r w:rsidR="33FE4D0B" w:rsidRPr="008A7104">
        <w:rPr>
          <w:rStyle w:val="normaltextrun"/>
          <w:rFonts w:ascii="Calibri" w:eastAsiaTheme="majorEastAsia" w:hAnsi="Calibri" w:cs="Calibri"/>
          <w:color w:val="FF0000"/>
          <w:sz w:val="22"/>
          <w:szCs w:val="22"/>
          <w:lang w:val="es-ES"/>
        </w:rPr>
        <w:t>[br</w:t>
      </w:r>
      <w:r w:rsidR="3EBC45DB" w:rsidRPr="008A7104">
        <w:rPr>
          <w:rStyle w:val="normaltextrun"/>
          <w:rFonts w:ascii="Calibri" w:eastAsiaTheme="majorEastAsia" w:hAnsi="Calibri" w:cs="Calibri"/>
          <w:color w:val="FF0000"/>
          <w:sz w:val="22"/>
          <w:szCs w:val="22"/>
          <w:lang w:val="es-ES"/>
        </w:rPr>
        <w:t xml:space="preserve">eve </w:t>
      </w:r>
      <w:r w:rsidR="33FE4D0B" w:rsidRPr="008A7104">
        <w:rPr>
          <w:rStyle w:val="normaltextrun"/>
          <w:rFonts w:ascii="Calibri" w:eastAsiaTheme="majorEastAsia" w:hAnsi="Calibri" w:cs="Calibri"/>
          <w:color w:val="FF0000"/>
          <w:sz w:val="22"/>
          <w:szCs w:val="22"/>
          <w:lang w:val="es-ES"/>
        </w:rPr>
        <w:t>descrip</w:t>
      </w:r>
      <w:r w:rsidR="7F237EAC" w:rsidRPr="008A7104">
        <w:rPr>
          <w:rStyle w:val="normaltextrun"/>
          <w:rFonts w:ascii="Calibri" w:eastAsiaTheme="majorEastAsia" w:hAnsi="Calibri" w:cs="Calibri"/>
          <w:color w:val="FF0000"/>
          <w:sz w:val="22"/>
          <w:szCs w:val="22"/>
          <w:lang w:val="es-ES"/>
        </w:rPr>
        <w:t>c</w:t>
      </w:r>
      <w:r w:rsidR="33FE4D0B" w:rsidRPr="008A7104">
        <w:rPr>
          <w:rStyle w:val="normaltextrun"/>
          <w:rFonts w:ascii="Calibri" w:eastAsiaTheme="majorEastAsia" w:hAnsi="Calibri" w:cs="Calibri"/>
          <w:color w:val="FF0000"/>
          <w:sz w:val="22"/>
          <w:szCs w:val="22"/>
          <w:lang w:val="es-ES"/>
        </w:rPr>
        <w:t>i</w:t>
      </w:r>
      <w:r w:rsidR="7B8B1908" w:rsidRPr="008A7104">
        <w:rPr>
          <w:rStyle w:val="normaltextrun"/>
          <w:rFonts w:ascii="Calibri" w:eastAsiaTheme="majorEastAsia" w:hAnsi="Calibri" w:cs="Calibri"/>
          <w:color w:val="FF0000"/>
          <w:sz w:val="22"/>
          <w:szCs w:val="22"/>
          <w:lang w:val="es-ES"/>
        </w:rPr>
        <w:t>ó</w:t>
      </w:r>
      <w:r w:rsidR="33FE4D0B" w:rsidRPr="008A7104">
        <w:rPr>
          <w:rStyle w:val="normaltextrun"/>
          <w:rFonts w:ascii="Calibri" w:eastAsiaTheme="majorEastAsia" w:hAnsi="Calibri" w:cs="Calibri"/>
          <w:color w:val="FF0000"/>
          <w:sz w:val="22"/>
          <w:szCs w:val="22"/>
          <w:lang w:val="es-ES"/>
        </w:rPr>
        <w:t xml:space="preserve">n </w:t>
      </w:r>
      <w:r w:rsidR="056A08F1" w:rsidRPr="008A7104">
        <w:rPr>
          <w:rStyle w:val="normaltextrun"/>
          <w:rFonts w:ascii="Calibri" w:eastAsiaTheme="majorEastAsia" w:hAnsi="Calibri" w:cs="Calibri"/>
          <w:color w:val="FF0000"/>
          <w:sz w:val="22"/>
          <w:szCs w:val="22"/>
          <w:lang w:val="es-ES"/>
        </w:rPr>
        <w:t>de su organización]</w:t>
      </w:r>
      <w:r w:rsidR="056A08F1" w:rsidRPr="30561774">
        <w:rPr>
          <w:rStyle w:val="eop"/>
          <w:rFonts w:ascii="Calibri" w:eastAsiaTheme="majorEastAsia" w:hAnsi="Calibri" w:cs="Calibri"/>
          <w:color w:val="FF0000"/>
          <w:sz w:val="22"/>
          <w:szCs w:val="22"/>
        </w:rPr>
        <w:t> </w:t>
      </w:r>
      <w:r w:rsidR="33FE4D0B" w:rsidRPr="30561774">
        <w:rPr>
          <w:rStyle w:val="eop"/>
          <w:rFonts w:ascii="Calibri" w:eastAsiaTheme="majorEastAsia" w:hAnsi="Calibri" w:cs="Calibri"/>
          <w:color w:val="FF0000"/>
          <w:sz w:val="22"/>
          <w:szCs w:val="22"/>
        </w:rPr>
        <w:t> </w:t>
      </w:r>
    </w:p>
    <w:p w14:paraId="05AD15A0" w14:textId="0DA09F2D" w:rsidR="30561774" w:rsidRDefault="30561774" w:rsidP="30561774">
      <w:pPr>
        <w:pStyle w:val="paragraph"/>
        <w:spacing w:before="0" w:beforeAutospacing="0" w:after="0" w:afterAutospacing="0"/>
        <w:jc w:val="both"/>
        <w:rPr>
          <w:rStyle w:val="eop"/>
          <w:rFonts w:ascii="Calibri" w:eastAsiaTheme="majorEastAsia" w:hAnsi="Calibri" w:cs="Calibri"/>
          <w:color w:val="FF0000"/>
          <w:sz w:val="22"/>
          <w:szCs w:val="22"/>
          <w:highlight w:val="yellow"/>
        </w:rPr>
      </w:pPr>
    </w:p>
    <w:sectPr w:rsidR="30561774" w:rsidSect="00752C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35B4B"/>
    <w:multiLevelType w:val="hybridMultilevel"/>
    <w:tmpl w:val="B6D4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E6DE3"/>
    <w:multiLevelType w:val="hybridMultilevel"/>
    <w:tmpl w:val="6610E4C6"/>
    <w:lvl w:ilvl="0" w:tplc="34A283F0">
      <w:start w:val="1"/>
      <w:numFmt w:val="decimal"/>
      <w:lvlText w:val="(%1)"/>
      <w:lvlJc w:val="left"/>
      <w:pPr>
        <w:ind w:left="720" w:hanging="360"/>
      </w:pPr>
    </w:lvl>
    <w:lvl w:ilvl="1" w:tplc="F02A2D8C">
      <w:start w:val="1"/>
      <w:numFmt w:val="lowerLetter"/>
      <w:lvlText w:val="%2."/>
      <w:lvlJc w:val="left"/>
      <w:pPr>
        <w:ind w:left="1440" w:hanging="360"/>
      </w:pPr>
    </w:lvl>
    <w:lvl w:ilvl="2" w:tplc="9D7AFAAE">
      <w:start w:val="1"/>
      <w:numFmt w:val="lowerRoman"/>
      <w:lvlText w:val="%3."/>
      <w:lvlJc w:val="right"/>
      <w:pPr>
        <w:ind w:left="2160" w:hanging="180"/>
      </w:pPr>
    </w:lvl>
    <w:lvl w:ilvl="3" w:tplc="A0509736">
      <w:start w:val="1"/>
      <w:numFmt w:val="decimal"/>
      <w:lvlText w:val="%4."/>
      <w:lvlJc w:val="left"/>
      <w:pPr>
        <w:ind w:left="2880" w:hanging="360"/>
      </w:pPr>
    </w:lvl>
    <w:lvl w:ilvl="4" w:tplc="6158C346">
      <w:start w:val="1"/>
      <w:numFmt w:val="lowerLetter"/>
      <w:lvlText w:val="%5."/>
      <w:lvlJc w:val="left"/>
      <w:pPr>
        <w:ind w:left="3600" w:hanging="360"/>
      </w:pPr>
    </w:lvl>
    <w:lvl w:ilvl="5" w:tplc="D730FC2E">
      <w:start w:val="1"/>
      <w:numFmt w:val="lowerRoman"/>
      <w:lvlText w:val="%6."/>
      <w:lvlJc w:val="right"/>
      <w:pPr>
        <w:ind w:left="4320" w:hanging="180"/>
      </w:pPr>
    </w:lvl>
    <w:lvl w:ilvl="6" w:tplc="096CDC06">
      <w:start w:val="1"/>
      <w:numFmt w:val="decimal"/>
      <w:lvlText w:val="%7."/>
      <w:lvlJc w:val="left"/>
      <w:pPr>
        <w:ind w:left="5040" w:hanging="360"/>
      </w:pPr>
    </w:lvl>
    <w:lvl w:ilvl="7" w:tplc="7A020C64">
      <w:start w:val="1"/>
      <w:numFmt w:val="lowerLetter"/>
      <w:lvlText w:val="%8."/>
      <w:lvlJc w:val="left"/>
      <w:pPr>
        <w:ind w:left="5760" w:hanging="360"/>
      </w:pPr>
    </w:lvl>
    <w:lvl w:ilvl="8" w:tplc="C2245BD2">
      <w:start w:val="1"/>
      <w:numFmt w:val="lowerRoman"/>
      <w:lvlText w:val="%9."/>
      <w:lvlJc w:val="right"/>
      <w:pPr>
        <w:ind w:left="6480" w:hanging="180"/>
      </w:pPr>
    </w:lvl>
  </w:abstractNum>
  <w:num w:numId="1" w16cid:durableId="1865747125">
    <w:abstractNumId w:val="1"/>
  </w:num>
  <w:num w:numId="2" w16cid:durableId="126792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89"/>
    <w:rsid w:val="00055D33"/>
    <w:rsid w:val="000752BC"/>
    <w:rsid w:val="0008694C"/>
    <w:rsid w:val="00090B49"/>
    <w:rsid w:val="00095E51"/>
    <w:rsid w:val="000B49E8"/>
    <w:rsid w:val="00164DDB"/>
    <w:rsid w:val="00171A33"/>
    <w:rsid w:val="001726D9"/>
    <w:rsid w:val="00176D7D"/>
    <w:rsid w:val="001C3676"/>
    <w:rsid w:val="00201235"/>
    <w:rsid w:val="00205451"/>
    <w:rsid w:val="00210357"/>
    <w:rsid w:val="0022539E"/>
    <w:rsid w:val="00245E40"/>
    <w:rsid w:val="00246F28"/>
    <w:rsid w:val="00273262"/>
    <w:rsid w:val="00291CFC"/>
    <w:rsid w:val="002D6293"/>
    <w:rsid w:val="002D7C2B"/>
    <w:rsid w:val="002E55D4"/>
    <w:rsid w:val="002F6373"/>
    <w:rsid w:val="00366E75"/>
    <w:rsid w:val="00377125"/>
    <w:rsid w:val="003B3F27"/>
    <w:rsid w:val="003D4993"/>
    <w:rsid w:val="003F08B4"/>
    <w:rsid w:val="004257F7"/>
    <w:rsid w:val="00441F91"/>
    <w:rsid w:val="00452BAF"/>
    <w:rsid w:val="00471584"/>
    <w:rsid w:val="00527BE5"/>
    <w:rsid w:val="00544E68"/>
    <w:rsid w:val="00571861"/>
    <w:rsid w:val="00586269"/>
    <w:rsid w:val="00624289"/>
    <w:rsid w:val="00674B6A"/>
    <w:rsid w:val="00752CF1"/>
    <w:rsid w:val="007A4B2F"/>
    <w:rsid w:val="007B78C4"/>
    <w:rsid w:val="007C7882"/>
    <w:rsid w:val="00882A39"/>
    <w:rsid w:val="008834A8"/>
    <w:rsid w:val="008A7104"/>
    <w:rsid w:val="008C1A68"/>
    <w:rsid w:val="008C386A"/>
    <w:rsid w:val="0090397B"/>
    <w:rsid w:val="00912430"/>
    <w:rsid w:val="0091371D"/>
    <w:rsid w:val="00917B63"/>
    <w:rsid w:val="009A19CA"/>
    <w:rsid w:val="009C637F"/>
    <w:rsid w:val="009D18EF"/>
    <w:rsid w:val="009D328F"/>
    <w:rsid w:val="00A24FF9"/>
    <w:rsid w:val="00A44408"/>
    <w:rsid w:val="00A6688A"/>
    <w:rsid w:val="00A8416A"/>
    <w:rsid w:val="00A9169E"/>
    <w:rsid w:val="00A937DE"/>
    <w:rsid w:val="00B55650"/>
    <w:rsid w:val="00B65EB1"/>
    <w:rsid w:val="00B81633"/>
    <w:rsid w:val="00B85093"/>
    <w:rsid w:val="00BA0F4C"/>
    <w:rsid w:val="00BF5F96"/>
    <w:rsid w:val="00C40D67"/>
    <w:rsid w:val="00C53DC8"/>
    <w:rsid w:val="00C6CCFE"/>
    <w:rsid w:val="00CB7601"/>
    <w:rsid w:val="00CC3FF1"/>
    <w:rsid w:val="00CD4D28"/>
    <w:rsid w:val="00CE07C2"/>
    <w:rsid w:val="00CF5601"/>
    <w:rsid w:val="00D25C2D"/>
    <w:rsid w:val="00D77C05"/>
    <w:rsid w:val="00DA061F"/>
    <w:rsid w:val="00DA590E"/>
    <w:rsid w:val="00DA78B7"/>
    <w:rsid w:val="00E06B59"/>
    <w:rsid w:val="00E503EC"/>
    <w:rsid w:val="00E74BD6"/>
    <w:rsid w:val="00E82C9C"/>
    <w:rsid w:val="00F5507A"/>
    <w:rsid w:val="00F92AA9"/>
    <w:rsid w:val="034012C8"/>
    <w:rsid w:val="03DF5D88"/>
    <w:rsid w:val="056A08F1"/>
    <w:rsid w:val="067A1A17"/>
    <w:rsid w:val="078BB499"/>
    <w:rsid w:val="07E15653"/>
    <w:rsid w:val="082F241D"/>
    <w:rsid w:val="08CBF225"/>
    <w:rsid w:val="0A9DEA87"/>
    <w:rsid w:val="0ABE17D1"/>
    <w:rsid w:val="0AE5CDED"/>
    <w:rsid w:val="0B0DF567"/>
    <w:rsid w:val="0F11B9D2"/>
    <w:rsid w:val="0F4CFDCC"/>
    <w:rsid w:val="104610E4"/>
    <w:rsid w:val="10A81E6D"/>
    <w:rsid w:val="10CDEB97"/>
    <w:rsid w:val="11D3AAC2"/>
    <w:rsid w:val="12C5E02D"/>
    <w:rsid w:val="1428ED42"/>
    <w:rsid w:val="165A0B98"/>
    <w:rsid w:val="16E57A78"/>
    <w:rsid w:val="173FD9C3"/>
    <w:rsid w:val="17D96A86"/>
    <w:rsid w:val="18AE10AB"/>
    <w:rsid w:val="19046152"/>
    <w:rsid w:val="192EF7C2"/>
    <w:rsid w:val="1992B3B3"/>
    <w:rsid w:val="1B7117FF"/>
    <w:rsid w:val="1C1B6071"/>
    <w:rsid w:val="1C301F1A"/>
    <w:rsid w:val="1C5C7C9E"/>
    <w:rsid w:val="1C926D0D"/>
    <w:rsid w:val="1C9940FB"/>
    <w:rsid w:val="1CAD03B9"/>
    <w:rsid w:val="1CDF4AF0"/>
    <w:rsid w:val="1D754F76"/>
    <w:rsid w:val="1E80CF16"/>
    <w:rsid w:val="1F4028CC"/>
    <w:rsid w:val="1F62569C"/>
    <w:rsid w:val="1F7CF7C9"/>
    <w:rsid w:val="21B1D067"/>
    <w:rsid w:val="224E3E64"/>
    <w:rsid w:val="23514BF9"/>
    <w:rsid w:val="241F12DC"/>
    <w:rsid w:val="242FB797"/>
    <w:rsid w:val="242FD071"/>
    <w:rsid w:val="252B5028"/>
    <w:rsid w:val="265D0FD1"/>
    <w:rsid w:val="26BB77AE"/>
    <w:rsid w:val="2866F62C"/>
    <w:rsid w:val="2C81C66B"/>
    <w:rsid w:val="2D2233B9"/>
    <w:rsid w:val="2D85F809"/>
    <w:rsid w:val="2DBDB7ED"/>
    <w:rsid w:val="2F1595E4"/>
    <w:rsid w:val="302E802E"/>
    <w:rsid w:val="30561774"/>
    <w:rsid w:val="305B57B3"/>
    <w:rsid w:val="308FC503"/>
    <w:rsid w:val="30F3D6AB"/>
    <w:rsid w:val="310C4498"/>
    <w:rsid w:val="313A9BC9"/>
    <w:rsid w:val="321C6F69"/>
    <w:rsid w:val="324B7087"/>
    <w:rsid w:val="330C829A"/>
    <w:rsid w:val="339458DE"/>
    <w:rsid w:val="33FE4D0B"/>
    <w:rsid w:val="342A3233"/>
    <w:rsid w:val="34668D03"/>
    <w:rsid w:val="3696AFB2"/>
    <w:rsid w:val="36A697A5"/>
    <w:rsid w:val="36E26C69"/>
    <w:rsid w:val="37ED05F2"/>
    <w:rsid w:val="39C0D84A"/>
    <w:rsid w:val="39C1B4F2"/>
    <w:rsid w:val="3A51B421"/>
    <w:rsid w:val="3ADA3CC3"/>
    <w:rsid w:val="3C566090"/>
    <w:rsid w:val="3C954C78"/>
    <w:rsid w:val="3CB24C2B"/>
    <w:rsid w:val="3DF46FE8"/>
    <w:rsid w:val="3EBC45DB"/>
    <w:rsid w:val="3EBFB428"/>
    <w:rsid w:val="40603BA5"/>
    <w:rsid w:val="40EDB2A1"/>
    <w:rsid w:val="41575190"/>
    <w:rsid w:val="416DDF7D"/>
    <w:rsid w:val="437F39B7"/>
    <w:rsid w:val="445BF82C"/>
    <w:rsid w:val="44C341BE"/>
    <w:rsid w:val="4513016B"/>
    <w:rsid w:val="455633C7"/>
    <w:rsid w:val="4557FDCD"/>
    <w:rsid w:val="455A1A32"/>
    <w:rsid w:val="45DB1520"/>
    <w:rsid w:val="46622033"/>
    <w:rsid w:val="46DE4322"/>
    <w:rsid w:val="484C84C8"/>
    <w:rsid w:val="49002211"/>
    <w:rsid w:val="49E29DC9"/>
    <w:rsid w:val="4A0123DA"/>
    <w:rsid w:val="4A59BB6B"/>
    <w:rsid w:val="4C59C09E"/>
    <w:rsid w:val="4C5D2E8E"/>
    <w:rsid w:val="4CC7827E"/>
    <w:rsid w:val="4E4C0CE1"/>
    <w:rsid w:val="4EBFD6C4"/>
    <w:rsid w:val="4EDB4900"/>
    <w:rsid w:val="5009BCC1"/>
    <w:rsid w:val="5062C9B8"/>
    <w:rsid w:val="50A6A70D"/>
    <w:rsid w:val="50D04DED"/>
    <w:rsid w:val="51A33013"/>
    <w:rsid w:val="527A9B2B"/>
    <w:rsid w:val="52D1C303"/>
    <w:rsid w:val="53C9DDB6"/>
    <w:rsid w:val="5583A93A"/>
    <w:rsid w:val="565AEF3F"/>
    <w:rsid w:val="5734EFD3"/>
    <w:rsid w:val="57CFB609"/>
    <w:rsid w:val="5CDAB4E0"/>
    <w:rsid w:val="5DC8EA7C"/>
    <w:rsid w:val="5DE45339"/>
    <w:rsid w:val="5E345695"/>
    <w:rsid w:val="6034896E"/>
    <w:rsid w:val="6076FBBA"/>
    <w:rsid w:val="60ACE0A1"/>
    <w:rsid w:val="613807FB"/>
    <w:rsid w:val="613D2BD3"/>
    <w:rsid w:val="626CB043"/>
    <w:rsid w:val="627947A4"/>
    <w:rsid w:val="6464593F"/>
    <w:rsid w:val="661048AC"/>
    <w:rsid w:val="66A110E1"/>
    <w:rsid w:val="66F9C6FB"/>
    <w:rsid w:val="68EEBFCB"/>
    <w:rsid w:val="69B4DB54"/>
    <w:rsid w:val="69D2B141"/>
    <w:rsid w:val="6A19C421"/>
    <w:rsid w:val="6A289E35"/>
    <w:rsid w:val="6B55E273"/>
    <w:rsid w:val="6C0CF651"/>
    <w:rsid w:val="6C2C7FAC"/>
    <w:rsid w:val="6C866F44"/>
    <w:rsid w:val="6E2F0B5A"/>
    <w:rsid w:val="6F002B75"/>
    <w:rsid w:val="6F40BF17"/>
    <w:rsid w:val="6FFE2528"/>
    <w:rsid w:val="70B3545D"/>
    <w:rsid w:val="70F9D6EF"/>
    <w:rsid w:val="71FCBF0F"/>
    <w:rsid w:val="7298774C"/>
    <w:rsid w:val="73712B76"/>
    <w:rsid w:val="73CACAE0"/>
    <w:rsid w:val="752EC20D"/>
    <w:rsid w:val="760456F3"/>
    <w:rsid w:val="76B62A56"/>
    <w:rsid w:val="76E046CD"/>
    <w:rsid w:val="776432B8"/>
    <w:rsid w:val="7852C3E6"/>
    <w:rsid w:val="7861190F"/>
    <w:rsid w:val="7888C1E3"/>
    <w:rsid w:val="78A48720"/>
    <w:rsid w:val="79E79C18"/>
    <w:rsid w:val="7ABB569D"/>
    <w:rsid w:val="7B09FAB8"/>
    <w:rsid w:val="7B23B460"/>
    <w:rsid w:val="7B8B1908"/>
    <w:rsid w:val="7BDB5458"/>
    <w:rsid w:val="7C35C67B"/>
    <w:rsid w:val="7D939DB8"/>
    <w:rsid w:val="7DA1544D"/>
    <w:rsid w:val="7DFE3BC1"/>
    <w:rsid w:val="7E005F6B"/>
    <w:rsid w:val="7F0779D8"/>
    <w:rsid w:val="7F237EAC"/>
    <w:rsid w:val="7F94A4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449936F"/>
  <w15:chartTrackingRefBased/>
  <w15:docId w15:val="{DC3EB9E2-3FE4-FD40-9FD3-214D09E9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4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24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242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242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242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2428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428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428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428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42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242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242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242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242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242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42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42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4289"/>
    <w:rPr>
      <w:rFonts w:eastAsiaTheme="majorEastAsia" w:cstheme="majorBidi"/>
      <w:color w:val="272727" w:themeColor="text1" w:themeTint="D8"/>
    </w:rPr>
  </w:style>
  <w:style w:type="paragraph" w:styleId="Ttulo">
    <w:name w:val="Title"/>
    <w:basedOn w:val="Normal"/>
    <w:next w:val="Normal"/>
    <w:link w:val="TtuloCar"/>
    <w:uiPriority w:val="10"/>
    <w:qFormat/>
    <w:rsid w:val="0062428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42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428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42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428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24289"/>
    <w:rPr>
      <w:i/>
      <w:iCs/>
      <w:color w:val="404040" w:themeColor="text1" w:themeTint="BF"/>
    </w:rPr>
  </w:style>
  <w:style w:type="paragraph" w:styleId="Prrafodelista">
    <w:name w:val="List Paragraph"/>
    <w:basedOn w:val="Normal"/>
    <w:uiPriority w:val="34"/>
    <w:qFormat/>
    <w:rsid w:val="00624289"/>
    <w:pPr>
      <w:ind w:left="720"/>
      <w:contextualSpacing/>
    </w:pPr>
  </w:style>
  <w:style w:type="character" w:styleId="nfasisintenso">
    <w:name w:val="Intense Emphasis"/>
    <w:basedOn w:val="Fuentedeprrafopredeter"/>
    <w:uiPriority w:val="21"/>
    <w:qFormat/>
    <w:rsid w:val="00624289"/>
    <w:rPr>
      <w:i/>
      <w:iCs/>
      <w:color w:val="0F4761" w:themeColor="accent1" w:themeShade="BF"/>
    </w:rPr>
  </w:style>
  <w:style w:type="paragraph" w:styleId="Citadestacada">
    <w:name w:val="Intense Quote"/>
    <w:basedOn w:val="Normal"/>
    <w:next w:val="Normal"/>
    <w:link w:val="CitadestacadaCar"/>
    <w:uiPriority w:val="30"/>
    <w:qFormat/>
    <w:rsid w:val="00624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24289"/>
    <w:rPr>
      <w:i/>
      <w:iCs/>
      <w:color w:val="0F4761" w:themeColor="accent1" w:themeShade="BF"/>
    </w:rPr>
  </w:style>
  <w:style w:type="character" w:styleId="Referenciaintensa">
    <w:name w:val="Intense Reference"/>
    <w:basedOn w:val="Fuentedeprrafopredeter"/>
    <w:uiPriority w:val="32"/>
    <w:qFormat/>
    <w:rsid w:val="00624289"/>
    <w:rPr>
      <w:b/>
      <w:bCs/>
      <w:smallCaps/>
      <w:color w:val="0F4761" w:themeColor="accent1" w:themeShade="BF"/>
      <w:spacing w:val="5"/>
    </w:rPr>
  </w:style>
  <w:style w:type="paragraph" w:customStyle="1" w:styleId="paragraph">
    <w:name w:val="paragraph"/>
    <w:basedOn w:val="Normal"/>
    <w:rsid w:val="0062428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Fuentedeprrafopredeter"/>
    <w:rsid w:val="00624289"/>
  </w:style>
  <w:style w:type="character" w:customStyle="1" w:styleId="eop">
    <w:name w:val="eop"/>
    <w:basedOn w:val="Fuentedeprrafopredeter"/>
    <w:rsid w:val="00624289"/>
  </w:style>
  <w:style w:type="character" w:styleId="Textoennegrita">
    <w:name w:val="Strong"/>
    <w:basedOn w:val="Fuentedeprrafopredeter"/>
    <w:uiPriority w:val="22"/>
    <w:qFormat/>
    <w:rsid w:val="00210357"/>
    <w:rPr>
      <w:b/>
      <w:bCs/>
    </w:rPr>
  </w:style>
  <w:style w:type="character" w:styleId="Hipervnculo">
    <w:name w:val="Hyperlink"/>
    <w:basedOn w:val="Fuentedeprrafopredeter"/>
    <w:uiPriority w:val="99"/>
    <w:unhideWhenUsed/>
    <w:rsid w:val="00210357"/>
    <w:rPr>
      <w:color w:val="0000FF"/>
      <w:u w:val="single"/>
    </w:rPr>
  </w:style>
  <w:style w:type="character" w:styleId="Mencinsinresolver">
    <w:name w:val="Unresolved Mention"/>
    <w:basedOn w:val="Fuentedeprrafopredeter"/>
    <w:uiPriority w:val="99"/>
    <w:semiHidden/>
    <w:unhideWhenUsed/>
    <w:rsid w:val="00291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onncds.org/take-action/call-to-lead-on-ncds" TargetMode="External"/><Relationship Id="rId13" Type="http://schemas.openxmlformats.org/officeDocument/2006/relationships/hyperlink" Target="https://hms.harvard.edu/news/hidden-pandem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cdalliance.org/why-ncds/NCDs"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dalliance.org/why-ncds/financing-nc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ho.int/news-room/fact-sheets/detail/noncommunicable-diseases" TargetMode="External"/><Relationship Id="rId4" Type="http://schemas.openxmlformats.org/officeDocument/2006/relationships/numbering" Target="numbering.xml"/><Relationship Id="rId9" Type="http://schemas.openxmlformats.org/officeDocument/2006/relationships/hyperlink" Target="https://www.who.int/news-room/fact-sheets/detail/noncommunicable-diseases"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A47A2ED-A5C9-4D3E-948F-E60AF6F511C8}">
    <t:Anchor>
      <t:Comment id="1638537086"/>
    </t:Anchor>
    <t:History>
      <t:Event id="{62CE9380-71C5-4096-8D52-90BDEA4A75A9}" time="2025-08-22T13:53:14.206Z">
        <t:Attribution userId="S::jmarquez@ncdalliance.org::e7f92fbc-8da7-466f-b26e-6d86f766485d" userProvider="AD" userName="Jimena Marquez"/>
        <t:Anchor>
          <t:Comment id="1638537086"/>
        </t:Anchor>
        <t:Create/>
      </t:Event>
      <t:Event id="{382DA12A-86B8-44E1-BB47-331FF78D67A4}" time="2025-08-22T13:53:14.206Z">
        <t:Attribution userId="S::jmarquez@ncdalliance.org::e7f92fbc-8da7-466f-b26e-6d86f766485d" userProvider="AD" userName="Jimena Marquez"/>
        <t:Anchor>
          <t:Comment id="1638537086"/>
        </t:Anchor>
        <t:Assign userId="S::mwang@ncdalliance.org::4a1cb462-5936-46ef-a84c-1bf71d444a8b" userProvider="AD" userName="Miranda Wang"/>
      </t:Event>
      <t:Event id="{32F81251-882E-4916-A000-9C190F41222C}" time="2025-08-22T13:53:14.206Z">
        <t:Attribution userId="S::jmarquez@ncdalliance.org::e7f92fbc-8da7-466f-b26e-6d86f766485d" userProvider="AD" userName="Jimena Marquez"/>
        <t:Anchor>
          <t:Comment id="1638537086"/>
        </t:Anchor>
        <t:SetTitle title="@Miranda Wang could you please review?"/>
      </t:Event>
      <t:Event id="{2E927B0A-300D-47D5-94DC-0039D8EE6B38}" time="2025-08-22T13:58:38.346Z">
        <t:Attribution userId="S::mwang@ncdalliance.org::4a1cb462-5936-46ef-a84c-1bf71d444a8b" userProvider="AD" userName="Miranda Wang"/>
        <t:Progress percentComplete="100"/>
      </t:Event>
      <t:Event id="{61A4C17F-0E27-4D13-B46F-5342738995D5}" time="2025-08-22T14:02:13.931Z">
        <t:Attribution userId="S::mwang@ncdalliance.org::4a1cb462-5936-46ef-a84c-1bf71d444a8b" userProvider="AD" userName="Miranda Wang"/>
        <t:Progress percentComplete="0"/>
      </t:Event>
      <t:Event id="{618A0FC7-E07A-493D-BE1F-81762552C645}" time="2025-08-22T14:05:00.274Z">
        <t:Attribution userId="S::jmarquez@ncdalliance.org::e7f92fbc-8da7-466f-b26e-6d86f766485d" userProvider="AD" userName="Jimena Marqu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9" ma:contentTypeDescription="Create a new document." ma:contentTypeScope="" ma:versionID="b20e9216461c94111648cc29952e2282">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b595a4274ee34abc84295cca2e24ae37"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A110B-2388-4859-9073-A3298EFC4BEE}">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2.xml><?xml version="1.0" encoding="utf-8"?>
<ds:datastoreItem xmlns:ds="http://schemas.openxmlformats.org/officeDocument/2006/customXml" ds:itemID="{2B35DFAB-2DCC-4AE0-9FC0-80CDE365743B}">
  <ds:schemaRefs>
    <ds:schemaRef ds:uri="http://schemas.microsoft.com/sharepoint/v3/contenttype/forms"/>
  </ds:schemaRefs>
</ds:datastoreItem>
</file>

<file path=customXml/itemProps3.xml><?xml version="1.0" encoding="utf-8"?>
<ds:datastoreItem xmlns:ds="http://schemas.openxmlformats.org/officeDocument/2006/customXml" ds:itemID="{79E25A55-DAF8-4294-BD2F-DE91AF4FC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3613</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Marquez</dc:creator>
  <cp:keywords/>
  <dc:description/>
  <cp:lastModifiedBy>Beltrán</cp:lastModifiedBy>
  <cp:revision>2</cp:revision>
  <dcterms:created xsi:type="dcterms:W3CDTF">2025-08-25T12:23:00Z</dcterms:created>
  <dcterms:modified xsi:type="dcterms:W3CDTF">2025-08-25T12:23:00Z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0x0101001EE53F7CD8C96B4FBB25679FB26F2BC1</vt:lpwstr>
  </property>
  <property fmtid="{D5CDD505-2E9C-101B-9397-08002B2CF9AE}" pid="3" name="MediaServiceImageTags">
    <vt:lpwstr/>
  </property>
</Properties>
</file>